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45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 w:cs="宋体"/>
                <w:bCs/>
                <w:sz w:val="32"/>
                <w:szCs w:val="32"/>
                <w:lang w:val="zh-CN"/>
              </w:rPr>
            </w:pPr>
          </w:p>
          <w:p>
            <w:pPr>
              <w:spacing w:line="520" w:lineRule="exact"/>
              <w:rPr>
                <w:rFonts w:ascii="仿宋_GB2312" w:eastAsia="仿宋_GB2312" w:cs="宋体"/>
                <w:bCs/>
                <w:sz w:val="32"/>
                <w:szCs w:val="32"/>
                <w:lang w:val="zh-CN"/>
              </w:rPr>
            </w:pPr>
          </w:p>
          <w:p>
            <w:pPr>
              <w:spacing w:line="520" w:lineRule="exact"/>
              <w:rPr>
                <w:rFonts w:ascii="仿宋_GB2312" w:eastAsia="仿宋_GB2312" w:cs="宋体"/>
                <w:bCs/>
                <w:sz w:val="32"/>
                <w:szCs w:val="32"/>
                <w:lang w:val="zh-CN"/>
              </w:rPr>
            </w:pPr>
          </w:p>
          <w:p>
            <w:pPr>
              <w:spacing w:line="520" w:lineRule="exact"/>
              <w:rPr>
                <w:rFonts w:ascii="仿宋_GB2312" w:eastAsia="仿宋_GB2312" w:cs="宋体"/>
                <w:bCs/>
                <w:sz w:val="32"/>
                <w:szCs w:val="32"/>
                <w:lang w:val="zh-CN"/>
              </w:rPr>
            </w:pPr>
          </w:p>
          <w:p>
            <w:pPr>
              <w:spacing w:line="520" w:lineRule="exact"/>
              <w:rPr>
                <w:rFonts w:ascii="仿宋_GB2312" w:eastAsia="仿宋_GB2312" w:cs="宋体"/>
                <w:bCs/>
                <w:sz w:val="32"/>
                <w:szCs w:val="32"/>
                <w:lang w:val="zh-CN"/>
              </w:rPr>
            </w:pPr>
          </w:p>
          <w:p>
            <w:pPr>
              <w:spacing w:line="520" w:lineRule="exact"/>
              <w:rPr>
                <w:rFonts w:ascii="仿宋_GB2312" w:eastAsia="仿宋_GB2312" w:cs="宋体"/>
                <w:bCs/>
                <w:sz w:val="32"/>
                <w:szCs w:val="32"/>
                <w:lang w:val="zh-CN"/>
              </w:rPr>
            </w:pPr>
          </w:p>
          <w:p>
            <w:pPr>
              <w:spacing w:line="520" w:lineRule="exact"/>
              <w:jc w:val="center"/>
              <w:rPr>
                <w:rFonts w:ascii="仿宋_GB2312" w:eastAsia="仿宋_GB2312" w:cs="宋体"/>
                <w:bCs/>
                <w:sz w:val="32"/>
                <w:szCs w:val="32"/>
                <w:lang w:val="zh-CN"/>
              </w:rPr>
            </w:pP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西将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政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发〔</w:t>
            </w:r>
            <w:r>
              <w:rPr>
                <w:rFonts w:hint="eastAsia" w:ascii="仿宋_GB2312" w:eastAsia="仿宋_GB2312" w:cs="楷体_GB2312"/>
                <w:bCs/>
                <w:sz w:val="32"/>
                <w:szCs w:val="32"/>
                <w:lang w:val="zh-CN"/>
              </w:rPr>
              <w:t>20</w:t>
            </w:r>
            <w:r>
              <w:rPr>
                <w:rFonts w:hint="eastAsia" w:ascii="仿宋_GB2312" w:eastAsia="仿宋_GB2312" w:cs="楷体_GB2312"/>
                <w:bCs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〕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号</w:t>
            </w:r>
          </w:p>
          <w:p>
            <w:pPr>
              <w:spacing w:line="80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val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val="zh-CN" w:eastAsia="zh-CN"/>
              </w:rPr>
              <w:t>关于上报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val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val="zh-CN"/>
              </w:rPr>
              <w:t>年度政府信息公开工作的报告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县政府政务公开办公室：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依据《中华人民共和国政府信息公开条例》第五十条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的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规定，现将将台堡镇人民政府20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年度政府信息公开工作汇报如下。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zh-CN" w:eastAsia="zh-CN"/>
              </w:rPr>
              <w:t>一、总体情况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en-US" w:eastAsia="zh-CN"/>
              </w:rPr>
              <w:t>2020年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，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将台堡镇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认真执行《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中华人民共和国政府信息公开条例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》规定，对政府信息公开的范围、内容、形式、制度等做了进一步的明确。主动公开行政许可相关信息，及时公开我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镇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依法行政状况，包括制定和执行重大行政决策、制定发布规范性文件、实施行政许可依据、信息公开指南等方面的基本情况。全面落实信息公开条例，夯实主动公开工作基础，全力推进政府信息公开工作。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（一）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针对公开内容的不同情况，确定公开时间，做到常规性工作定期公开，临时性工作随时公开，固定性工作长期公开。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全年共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公开政府信息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en-US" w:eastAsia="zh-CN"/>
              </w:rPr>
              <w:t>149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余条，含规范性文件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件，及时更新办事服务事项，做好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农业产业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补贴等公示公告和重大决策意见征集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。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严格按照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编制政府信息主动公开清单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及时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公开规范性文件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和相关信息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。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并按要求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报送县政务公开办公室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。严格落实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发布前审核、发布后更新及文件有效性管理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。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en-US" w:eastAsia="zh-CN"/>
              </w:rPr>
              <w:t>（三）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按照政府网站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管理平台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建设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、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考核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要求，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进一步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完善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信息公开平台发布功能，规范栏目设置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，积极与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县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政务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公开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办公室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对接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，及时完善政务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公开系统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  <w:t>、</w:t>
            </w: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zh-CN"/>
              </w:rPr>
              <w:t>升级平台搜索引擎。</w:t>
            </w:r>
          </w:p>
          <w:p>
            <w:pPr>
              <w:spacing w:line="520" w:lineRule="exact"/>
              <w:ind w:firstLine="640" w:firstLineChars="200"/>
              <w:jc w:val="left"/>
              <w:rPr>
                <w:rFonts w:hint="eastAsia" w:ascii="仿宋_GB2312" w:eastAsia="仿宋_GB2312" w:cs="宋体"/>
                <w:bCs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eastAsia="仿宋_GB2312" w:cs="宋体"/>
                <w:bCs/>
                <w:sz w:val="32"/>
                <w:szCs w:val="32"/>
                <w:lang w:val="en-US" w:eastAsia="zh-CN"/>
              </w:rPr>
              <w:t>（四）进一步探索和掌握信息公开工作规律，逐步制定完善信息公开配套制度，加强对信息公开工作的检查。重视依申请公开办理效率和答复质量，通过公众平台、微信工作群等新媒体媒介，加强舆论宣传，积极引导社会公众正确行使知情权，推动政府信息公开工作取得更大进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主动公开政府信息情况</w:t>
            </w:r>
          </w:p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08"/>
              <w:gridCol w:w="1875"/>
              <w:gridCol w:w="6"/>
              <w:gridCol w:w="1265"/>
              <w:gridCol w:w="188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8535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第二十条第（一）项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2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both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信息内容</w:t>
                  </w:r>
                </w:p>
              </w:tc>
              <w:tc>
                <w:tcPr>
                  <w:tcW w:w="187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本年新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制作数量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本年新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公开数量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对外公开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总数量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规章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规范性文件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8535" w:type="dxa"/>
                  <w:gridSpan w:val="5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第二十条第（五）项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信息内容</w:t>
                  </w:r>
                </w:p>
              </w:tc>
              <w:tc>
                <w:tcPr>
                  <w:tcW w:w="187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上一年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项目数量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本年增/减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处理决定数量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行政许可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其他对外管理服务事项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8535" w:type="dxa"/>
                  <w:gridSpan w:val="5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第二十条第（六）项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信息内容</w:t>
                  </w:r>
                </w:p>
              </w:tc>
              <w:tc>
                <w:tcPr>
                  <w:tcW w:w="187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上一年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项目数量</w:t>
                  </w:r>
                </w:p>
              </w:tc>
              <w:tc>
                <w:tcPr>
                  <w:tcW w:w="1271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本年增/减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处理决定数量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0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行政处罚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行政强制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8535" w:type="dxa"/>
                  <w:gridSpan w:val="5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第二十条第（八）项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信息内容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上一年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项目数量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本年增/减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行政事业性收费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6" w:hRule="atLeast"/>
                <w:jc w:val="center"/>
              </w:trPr>
              <w:tc>
                <w:tcPr>
                  <w:tcW w:w="8535" w:type="dxa"/>
                  <w:gridSpan w:val="5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第二十条第（九）项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信息内容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采购项目数量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采购总金额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  <w:jc w:val="center"/>
              </w:trPr>
              <w:tc>
                <w:tcPr>
                  <w:tcW w:w="350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政府集中采购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3146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三、收到和处理政府信息公开申请情况</w:t>
            </w:r>
          </w:p>
          <w:tbl>
            <w:tblPr>
              <w:tblStyle w:val="2"/>
              <w:tblW w:w="9071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"/>
              <w:gridCol w:w="1236"/>
              <w:gridCol w:w="1876"/>
              <w:gridCol w:w="618"/>
              <w:gridCol w:w="548"/>
              <w:gridCol w:w="732"/>
              <w:gridCol w:w="765"/>
              <w:gridCol w:w="855"/>
              <w:gridCol w:w="412"/>
              <w:gridCol w:w="993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8" w:type="dxa"/>
                  <w:gridSpan w:val="3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923" w:type="dxa"/>
                  <w:gridSpan w:val="7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申请人情况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8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18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自然人</w:t>
                  </w:r>
                </w:p>
              </w:tc>
              <w:tc>
                <w:tcPr>
                  <w:tcW w:w="3312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法人或其他组织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8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18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商业企业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科研机构</w:t>
                  </w:r>
                </w:p>
              </w:tc>
              <w:tc>
                <w:tcPr>
                  <w:tcW w:w="76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社会公益组织</w:t>
                  </w:r>
                </w:p>
              </w:tc>
              <w:tc>
                <w:tcPr>
                  <w:tcW w:w="85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法律服务机构</w:t>
                  </w:r>
                </w:p>
              </w:tc>
              <w:tc>
                <w:tcPr>
                  <w:tcW w:w="41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993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8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一、本年新收政府信息公开申请数量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149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149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8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二、上年结转政府信息公开申请数量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三、本年度办理结果</w:t>
                  </w:r>
                </w:p>
              </w:tc>
              <w:tc>
                <w:tcPr>
                  <w:tcW w:w="311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（一）予以公开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149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149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11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（三）不予公开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1.属于国家秘密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2.其他法律行政法规禁止公开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3.危及“三安全一稳定”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4.保护第三方合法权益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5.属于三类内部事务信息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6.属于四类过程性信息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7.属于行政执法案卷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8.属于行政查询事项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（四）无法提供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1.本机关不掌握相关政府信息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2.没有现成信息需要另行制作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3.补正后申请内容仍不明确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（五）不予处理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1.信访举报投诉类申请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2.重复申请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3.要求提供公开出版物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4.无正当理由大量反复申请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5.要求行政机关确认或重新出具已获取信息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11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（六）其他处理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3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11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（七）总计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8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四、结转下年度继续办理</w:t>
                  </w:r>
                </w:p>
              </w:tc>
              <w:tc>
                <w:tcPr>
                  <w:tcW w:w="6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四、政府信息公开行政复议、行政诉讼情况</w:t>
            </w:r>
          </w:p>
          <w:tbl>
            <w:tblPr>
              <w:tblStyle w:val="2"/>
              <w:tblW w:w="0" w:type="auto"/>
              <w:tblInd w:w="0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4"/>
              <w:gridCol w:w="604"/>
              <w:gridCol w:w="604"/>
              <w:gridCol w:w="604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379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021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行政复议</w:t>
                  </w:r>
                </w:p>
              </w:tc>
              <w:tc>
                <w:tcPr>
                  <w:tcW w:w="5824" w:type="dxa"/>
                  <w:gridSpan w:val="10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行政诉讼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4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结果维持</w:t>
                  </w:r>
                </w:p>
              </w:tc>
              <w:tc>
                <w:tcPr>
                  <w:tcW w:w="604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结果纠正</w:t>
                  </w:r>
                </w:p>
              </w:tc>
              <w:tc>
                <w:tcPr>
                  <w:tcW w:w="604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其他结果</w:t>
                  </w:r>
                </w:p>
              </w:tc>
              <w:tc>
                <w:tcPr>
                  <w:tcW w:w="604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尚未审结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总计</w:t>
                  </w:r>
                </w:p>
              </w:tc>
              <w:tc>
                <w:tcPr>
                  <w:tcW w:w="3025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未经复议直接起诉</w:t>
                  </w:r>
                </w:p>
              </w:tc>
              <w:tc>
                <w:tcPr>
                  <w:tcW w:w="2799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复议后起诉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4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4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4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4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5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结果维持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结果纠正</w:t>
                  </w:r>
                </w:p>
              </w:tc>
              <w:tc>
                <w:tcPr>
                  <w:tcW w:w="6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其他结果</w:t>
                  </w:r>
                </w:p>
              </w:tc>
              <w:tc>
                <w:tcPr>
                  <w:tcW w:w="6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尚未审结</w:t>
                  </w:r>
                </w:p>
              </w:tc>
              <w:tc>
                <w:tcPr>
                  <w:tcW w:w="6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总计</w:t>
                  </w:r>
                </w:p>
              </w:tc>
              <w:tc>
                <w:tcPr>
                  <w:tcW w:w="6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结果维持</w:t>
                  </w:r>
                </w:p>
              </w:tc>
              <w:tc>
                <w:tcPr>
                  <w:tcW w:w="6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结果纠正</w:t>
                  </w:r>
                </w:p>
              </w:tc>
              <w:tc>
                <w:tcPr>
                  <w:tcW w:w="6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其他结果</w:t>
                  </w:r>
                </w:p>
              </w:tc>
              <w:tc>
                <w:tcPr>
                  <w:tcW w:w="60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尚未审结</w:t>
                  </w:r>
                </w:p>
              </w:tc>
              <w:tc>
                <w:tcPr>
                  <w:tcW w:w="37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textAlignment w:val="auto"/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4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 0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五、存在的主要问题及改进情况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年，将台堡镇政务信息公开工作方面主要存在的问题是，一是信息更新还不够及时。二是信息公开的范围和内容有待进一步扩大完善。三是信息安全意识有待加强。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下一步，将台堡镇将深入学习领会《中华人民共和国政府信息公开条例》，严格落实区、市、县政府信息公开制度，进一步加大信息公开力度，进一步完善信息公开制度，强化信息公开的责任意识、大局意识、服务意识，确保政务信息公开工作及时、准确。不断改进工作作风和方式方法，提高我镇信息公开工作水平，高效完成信息公开工作，更好地接受社会公众对信息公开情况的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六、其他需要报告的事项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如需了解更多政府信息，请致电0954-3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819208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查询。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righ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西吉县将台堡镇人民政府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          2021年1月31日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CA2D"/>
    <w:multiLevelType w:val="singleLevel"/>
    <w:tmpl w:val="107ECA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33A08"/>
    <w:rsid w:val="0628709C"/>
    <w:rsid w:val="142F34A4"/>
    <w:rsid w:val="161A5002"/>
    <w:rsid w:val="169C49CB"/>
    <w:rsid w:val="1A033A08"/>
    <w:rsid w:val="1F9D0CC8"/>
    <w:rsid w:val="52360581"/>
    <w:rsid w:val="5758523B"/>
    <w:rsid w:val="5911074D"/>
    <w:rsid w:val="6EE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2021-02-01T08:16:00Z</dcterms:created>
  <dc:creator>紫气东来</dc:creator>
  <cp:lastModifiedBy>紫气东来</cp:lastModifiedBy>
  <cp:lastPrinted>2021-02-01T09:10:00Z</cp:lastPrinted>
  <dcterms:modified xsi:type="dcterms:W3CDTF">2021-02-01T10:09:35Z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