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宋体" w:hAnsi="宋体" w:eastAsia="宋体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西教体函发〔2020〕154号</w:t>
      </w: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 w:firstLine="600" w:firstLineChars="200"/>
        <w:jc w:val="both"/>
        <w:textAlignment w:val="auto"/>
        <w:rPr>
          <w:rStyle w:val="6"/>
          <w:rFonts w:ascii="宋体" w:hAnsi="宋体" w:eastAsia="宋体"/>
          <w:kern w:val="2"/>
          <w:sz w:val="30"/>
          <w:szCs w:val="30"/>
          <w:lang w:val="en-US" w:eastAsia="zh-CN" w:bidi="ar-SA"/>
        </w:rPr>
      </w:pPr>
    </w:p>
    <w:p>
      <w:pPr>
        <w:pStyle w:val="11"/>
        <w:widowControl/>
        <w:kinsoku/>
        <w:wordWrap/>
        <w:overflowPunct/>
        <w:autoSpaceDN/>
        <w:bidi w:val="0"/>
        <w:spacing w:before="0" w:after="0" w:line="520" w:lineRule="exact"/>
        <w:ind w:left="0" w:leftChars="0" w:right="0" w:rightChars="0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关于进一步规范中小学学籍管理工作的</w:t>
      </w:r>
    </w:p>
    <w:p>
      <w:pPr>
        <w:pStyle w:val="11"/>
        <w:widowControl/>
        <w:kinsoku/>
        <w:wordWrap/>
        <w:overflowPunct/>
        <w:autoSpaceDN/>
        <w:bidi w:val="0"/>
        <w:spacing w:before="0" w:after="0" w:line="520" w:lineRule="exact"/>
        <w:ind w:left="0" w:leftChars="0" w:right="0" w:rightChars="0"/>
        <w:jc w:val="center"/>
        <w:textAlignment w:val="auto"/>
        <w:rPr>
          <w:rStyle w:val="6"/>
          <w:rFonts w:ascii="方正小标宋简体" w:hAns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通知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/>
        <w:jc w:val="left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各学校：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/>
        <w:jc w:val="left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 xml:space="preserve">    为切实加强学籍管理，维护正常的教育教学秩序,根据国家、自治区中小学学籍管理规定，现就进一步规范全县中小学学籍管理工作通知如下：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黑体" w:hAnsi="宋体" w:eastAsia="黑体"/>
          <w:kern w:val="2"/>
          <w:sz w:val="32"/>
          <w:szCs w:val="32"/>
          <w:lang w:val="en-US" w:eastAsia="zh-CN"/>
        </w:rPr>
        <w:t>一、高度重视学籍管理的重要性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/>
        <w:jc w:val="both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paperSrc/>
          <w:lnNumType w:countBy="0"/>
          <w:pgNumType w:fmt="numberInDash"/>
          <w:cols w:space="425" w:num="1"/>
          <w:docGrid w:type="lines" w:linePitch="312" w:charSpace="0"/>
        </w:sectPr>
      </w:pPr>
      <w:r>
        <w:rPr>
          <w:rStyle w:val="6"/>
          <w:rFonts w:ascii="黑体" w:hAnsi="宋体" w:eastAsia="黑体"/>
          <w:kern w:val="2"/>
          <w:sz w:val="32"/>
          <w:szCs w:val="32"/>
          <w:lang w:val="en-US" w:eastAsia="zh-CN"/>
        </w:rPr>
        <w:t xml:space="preserve">   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 xml:space="preserve"> 学籍是教育经费投入、招生录取、控制大班额、残疾儿童接受教育、控辍保学、学生资助等的基础，是学生体质监测结果记录、综合素质评价、教科书征订、毕业证发放的依据，不仅关系到学生的切身利益，更是维护学校正常教育教学秩序、保障学校客观公平地考核学生学业成绩、提高办</w:t>
      </w:r>
      <w:bookmarkStart w:id="0" w:name="_GoBack"/>
      <w:bookmarkEnd w:id="0"/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学水平的重要保证。近年来，随着流动人口子女的增多，学籍管理难度不断加大。各学校要高度重视，严格把握政策，不断增强规则意识、风险意识，对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/>
        <w:jc w:val="both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学生学籍变动情况做到底数清、统计准，努力提高学籍管理的水平，切实保障学籍管理工作规范有序进行。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黑体" w:hAnsi="宋体" w:eastAsia="黑体"/>
          <w:kern w:val="2"/>
          <w:sz w:val="32"/>
          <w:szCs w:val="32"/>
          <w:lang w:val="en-US" w:eastAsia="zh-CN"/>
        </w:rPr>
        <w:t>二、规范管理，严格落实学籍管理政策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hint="eastAsia" w:ascii="楷体_GB2312" w:hAnsi="楷体_GB2312" w:eastAsia="楷体_GB2312" w:cs="楷体_GB2312"/>
          <w:b/>
          <w:bCs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（一）严格落实“人籍一致”“籍随人走”要求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严格落实学籍管理“人籍一致”“籍随人走”的相关规定，办理转学时，“先办理转学手续、后转人”，转学手续是否办理完成，以学籍平台学籍异动完成为准。各学校要对在校学生学籍情况进行全面核查，对人籍不一致的及时办理转学手续或退回原学校。除特殊教育学校学生外，任何学校不得接收未按规定办理入学或转学手续的学生就读，对于出现人籍不符情况的，学校要逐一作出说明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“人籍不一致”主要包括“在籍不在校”和“在校不在籍”两类学生。各学校要根据学籍系统中学生名单，以班级为单位逐班核对排摸，认真筛查“在籍不在校”和“在校不在籍”学生，立即调查原因，有效采取整改措施（附件1）。每学期开学一周内各学校排摸上报基础教育室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“在籍不在校”学生。</w:t>
      </w: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属于确认已转到外校就读的学生，要督促学生家长尽快办理学籍转接手续；属于不具备转学条件而外出的学生，要督促学生家长尽快让学生回校就读；属于重度残疾不能到校的学生，要组织教师送教上门服务；属于确认疑似辍学无法联系，或多次劝说仍不返校的学生，学校要上报学生户籍所在地乡镇政府，由乡镇政府向辍学学生家长发放《义务教育阶段学生限期复学通知书》，督促其及时复学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“在校不在籍”学生。</w:t>
      </w: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属于符合入学或转学条件的学生，及时办理就读手续；属于违规招收或转入的学生，要及时予以清退，严禁学生擅自旁听借读；属于没有户口的学生，动员家长及时办理户口登记。各学校要及时整改人籍分离、空挂学籍、学籍造假等现象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（二）严格转学管理</w:t>
      </w: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 w:firstLine="643" w:firstLineChars="200"/>
        <w:jc w:val="both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Times New Roman" w:eastAsia="仿宋_GB2312"/>
          <w:b/>
          <w:kern w:val="2"/>
          <w:sz w:val="32"/>
          <w:szCs w:val="32"/>
          <w:lang w:val="en-US" w:eastAsia="zh-CN"/>
        </w:rPr>
        <w:t>1.严格转学条件。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因家庭住址变化、户口迁移、学生父母或其他法定监护人工作调动等因素确需转学的，由学生或其父母、其他法定监护人提出申请，经转入和转出学校同意，并报县教育体育局学籍管理中心确认，可办理学籍异动。起始年级、毕业年级学生一般不准转学。大班额班级学校原则上不接收转入学生。</w:t>
      </w: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 w:firstLine="643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b/>
          <w:kern w:val="2"/>
          <w:sz w:val="32"/>
          <w:szCs w:val="32"/>
          <w:lang w:val="en-US" w:eastAsia="zh-CN"/>
        </w:rPr>
        <w:t>2.规范办理时间。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实行集中办理，原则上每年两次，在每学期开学后的前10个工作日由学校提出申请，县教育体育局学籍管理中心统一审核，审核通过并办理转学手续后予以接收。</w:t>
      </w: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 w:firstLine="643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Times New Roman" w:eastAsia="仿宋_GB2312"/>
          <w:b/>
          <w:kern w:val="2"/>
          <w:sz w:val="32"/>
          <w:szCs w:val="32"/>
          <w:lang w:val="en-US" w:eastAsia="zh-CN"/>
        </w:rPr>
        <w:t>3.严格城区学校转入手续。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对于申请转入城区学校的学生，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严格按照本校招生入学条件进行初审，对于不符合入学条件的，跟家长做好解释，并合理分流，初审合格后，接收学校带材料原件和申报表报县教育体育局学籍管理中心审核，经审核合格的予以办理转学手续。</w:t>
      </w: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城区学校要严格控制班额，对于已无空余学位的学校，原则上不得接收转入学生。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Times New Roman" w:eastAsia="仿宋_GB2312"/>
          <w:b/>
          <w:kern w:val="2"/>
          <w:sz w:val="32"/>
          <w:szCs w:val="32"/>
          <w:lang w:val="en-US" w:eastAsia="zh-CN"/>
        </w:rPr>
        <w:t>4.加强网上信息管理。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凡经教育体育局审批同意转入的学生，双方学校应及时在学籍平台提交申请，一周内完成电子档案的办理。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（三）严格休复学管理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1.学生因伤病和本人不可抗拒原因确需休学的，应由学生本人及其家长提出书面申请，填写《宁夏中小学生休学复学申请表》，提供县级以上（含县级）医疗机构开具的诊断证明、病历和相关费用单据，因不可抗拒原因休学的，需出具公安或民政、人社等部门的证明，由学校初审后报县教育体育局学籍管理中心审批，并在学籍管理系统中提交休学申请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2.休学办理时间为每学期开学两周内（突发及特殊情况除外），对于已休学学生，学校要建立工作台帐，休学期满后，由其本人或法定监护人向学校提出书面复学申请，并提供原就诊医疗机构出具的康复证明。学校审核同意后，在学籍系统中提交复学申请，并提供复学申请、康复证明、原休学核办表到县学籍管理中心核办后，方可复学。学生复学后，由学校编入相应年级就读。休学期满，尚不能如期复学的，可申请继续休学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3.各学校要严格按照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《自治区教育厅关于印发&lt;宁夏中小学生学籍管理办法实施细则（修订）&gt;的通知》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相关要求办理休复学，办理时提前在下一年级内预留空余学位，严防因学生复学出现新的大班额问题。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（四）严格执行学籍信息修改手续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根据学籍政策，学籍信息修改的依据是户籍信息，任何学籍信息的修改必须以户籍信息为基础，户籍信息未更改的，一律不得进行学籍信息修改。学籍信息中的姓名和身份证号不能全部修改，身份证号只能修改一次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普通中小学学籍信息修改，需提报以下材料：修改姓名、性别、民族的，提供户口本（原件、复印件1份）；销户后重新落户需修改身份证号的，提供户口本（原件、复印件1份）、销户证明（原件）。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</w:pPr>
      <w:r>
        <w:rPr>
          <w:rStyle w:val="6"/>
          <w:rFonts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（五）建立疑似失学对象劝返复学长效机制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由于受地理环境、家庭经济或思想观念等因素影响，仍有学生出现疑似失学辍学，其中残疾儿童少年、留守儿童、孤儿和单亲家庭学生较为突出，按学段分初中生较多。各学校要全面掌控辖区户籍生入学状况，严格落实</w:t>
      </w:r>
      <w:r>
        <w:rPr>
          <w:rStyle w:val="6"/>
          <w:rFonts w:ascii="仿宋_GB2312" w:hAnsi="仿宋_GB2312" w:eastAsia="仿宋_GB2312"/>
          <w:kern w:val="2"/>
          <w:sz w:val="32"/>
          <w:szCs w:val="32"/>
          <w:lang w:val="en-US" w:eastAsia="zh-CN"/>
        </w:rPr>
        <w:t>“12357”控辍保学长效工作机制，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与当地政府共同采取劝返复学措施，保障辖区适龄儿童少年依法接受义务教育。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黑体" w:hAnsi="宋体" w:eastAsia="黑体"/>
          <w:kern w:val="2"/>
          <w:sz w:val="32"/>
          <w:szCs w:val="32"/>
          <w:lang w:val="en-US" w:eastAsia="zh-CN"/>
        </w:rPr>
        <w:t>三、有关要求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（一）加强学籍管理员队伍建设。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各学校要切实提高认识，把学籍管理作为一项重要工作来抓。学校分管学籍副校长要熟练掌握学籍管理规定，加强学籍人员管理，选拔责任心强、业务水平高的人员担任学籍管理员，并确保队伍稳定。建立学籍管理常态化培训机制，定期开展学籍知识培训。完善教师绩效考核办法，适当增加学籍管理人员考核权重，充分调动学籍管理员工作积极性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（二）强化信息安全管理。</w:t>
      </w: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>建立严格的学籍保密制度，非经学籍主管部门书面批准，学籍信息一律不得向外提供，严防学籍信息外泄和滥用。对于学生身份证号、家庭住址、出生年月、监护人工作单位、联系电话等信息，坚决不能外传。每学年，学校要和学籍管理员签定安全保密承诺书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（三）严格落实“一次办好”工作要求</w:t>
      </w: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各学校要切实增强服务意识，进一步简化学籍业务办理流程，积极做好宣传、引导和服务工作，除家长提供相关材料原件到学校现场审核一次外，其他审核流程全部由所在学校统一按照程序办理。对跨省、市转学、升学的，根据外省、市需求积极提供相关材料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楷体_GB2312" w:hAnsi="Times New Roman" w:eastAsia="楷体_GB2312" w:cs="楷体_GB2312"/>
          <w:b/>
          <w:bCs/>
          <w:kern w:val="2"/>
          <w:sz w:val="32"/>
          <w:szCs w:val="32"/>
          <w:lang w:val="en-US" w:eastAsia="zh-CN"/>
        </w:rPr>
        <w:t>（四）加强监督检查，实行责任追究。</w:t>
      </w: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对转学、休复学等学籍异动办理，各学校要认真审查，严格履行审批手续。县教育体育局将根据学籍系统中学生名单，加大监督检查力度，定期不定期开展学生学籍管理“人籍不一致”专项督查，凡有下列情形之一的，县教育体育局将责令限期整改和通报批评，约谈主要负责人，情节严重的，将追究相关人员责任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1.未按规定对学生学籍进行及时录入、变动和上报；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2.填写、上报学籍数据和相关信息弄虚作假的；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3.伪造、改动学籍数据的；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4.不能及时为学生办理入学、转学、休学、复学、升学、毕业等项手续的；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5.为不符合转学、休学条件的学生签字、盖章的；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6.有意刁难学生转学，使得流动人口随迁子女延误或不能及时入学的；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  <w:t>7.违反学籍管理的有关规定，影响学籍数据准确、完整或学生权益的其他事项。</w:t>
      </w:r>
    </w:p>
    <w:p>
      <w:pPr>
        <w:kinsoku/>
        <w:wordWrap/>
        <w:overflowPunct/>
        <w:autoSpaceDN/>
        <w:bidi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insoku/>
        <w:wordWrap/>
        <w:overflowPunct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 xml:space="preserve">                          </w:t>
      </w:r>
    </w:p>
    <w:p>
      <w:pPr>
        <w:kinsoku/>
        <w:wordWrap/>
        <w:overflowPunct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</w:p>
    <w:p>
      <w:pPr>
        <w:kinsoku/>
        <w:wordWrap/>
        <w:overflowPunct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Style w:val="6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 xml:space="preserve">                         西吉县教育体育局 </w:t>
      </w:r>
    </w:p>
    <w:p>
      <w:pPr>
        <w:widowControl/>
        <w:kinsoku/>
        <w:wordWrap/>
        <w:overflowPunct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</w:pPr>
      <w:r>
        <w:rPr>
          <w:rStyle w:val="6"/>
          <w:rFonts w:ascii="仿宋_GB2312" w:hAnsi="Calibri" w:eastAsia="仿宋_GB2312"/>
          <w:kern w:val="2"/>
          <w:sz w:val="32"/>
          <w:szCs w:val="32"/>
          <w:lang w:val="en-US" w:eastAsia="zh-CN"/>
        </w:rPr>
        <w:t xml:space="preserve">                              2020年3月12日</w:t>
      </w:r>
    </w:p>
    <w:sectPr>
      <w:footerReference r:id="rId5" w:type="default"/>
      <w:pgSz w:w="11906" w:h="16838"/>
      <w:pgMar w:top="1440" w:right="1417" w:bottom="1440" w:left="1417" w:header="851" w:footer="992" w:gutter="0"/>
      <w:paperSrc/>
      <w:lnNumType w:countBy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24"/>
        <w:lang w:val="en-US" w:eastAsia="zh-CN" w:bidi="ar-SA"/>
      </w:rPr>
    </w:pPr>
    <w:r>
      <w:rPr>
        <w:rStyle w:val="6"/>
        <w:rFonts w:ascii="Times New Roman" w:hAnsi="Times New Roman" w:eastAsia="宋体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left:199.4pt;margin-top:0pt;height:144pt;width:144pt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snapToGrid w:val="0"/>
                  <w:jc w:val="center"/>
                  <w:textAlignment w:val="baseline"/>
                  <w:rPr>
                    <w:rStyle w:val="6"/>
                    <w:rFonts w:ascii="宋体" w:hAnsi="宋体" w:eastAsia="宋体"/>
                    <w:kern w:val="2"/>
                    <w:sz w:val="28"/>
                    <w:szCs w:val="28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6"/>
                    <w:rFonts w:ascii="Times New Roman" w:hAnsi="Times New Roman" w:eastAsia="宋体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  <w:r>
      <w:rPr>
        <w:rStyle w:val="6"/>
        <w:rFonts w:ascii="Times New Roman" w:hAnsi="Times New Roman" w:eastAsia="宋体"/>
        <w:kern w:val="2"/>
        <w:sz w:val="18"/>
        <w:szCs w:val="24"/>
        <w:lang w:val="en-US" w:eastAsia="zh-CN" w:bidi="ar-SA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24"/>
        <w:lang w:val="en-US" w:eastAsia="zh-CN" w:bidi="ar-SA"/>
      </w:rPr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525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Style w:val="6"/>
        <w:rFonts w:ascii="Times New Roman" w:hAnsi="Times New Roman" w:eastAsia="宋体"/>
        <w:kern w:val="2"/>
        <w:sz w:val="18"/>
        <w:szCs w:val="24"/>
        <w:lang w:val="en-US" w:eastAsia="zh-CN" w:bidi="ar-SA"/>
      </w:rPr>
      <w:pict>
        <v:shape id="_x0000_s2052" o:spid="_x0000_s2052" o:spt="202" type="#_x0000_t202" style="position:absolute;left:0pt;margin-left:199.4pt;margin-top:0pt;height:144pt;width:144pt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snapToGrid w:val="0"/>
                  <w:jc w:val="center"/>
                  <w:textAlignment w:val="baseline"/>
                  <w:rPr>
                    <w:rStyle w:val="6"/>
                    <w:rFonts w:ascii="宋体" w:hAnsi="宋体" w:eastAsia="宋体"/>
                    <w:kern w:val="2"/>
                    <w:sz w:val="28"/>
                    <w:szCs w:val="28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6"/>
                    <w:rFonts w:ascii="Times New Roman" w:hAnsi="Times New Roman" w:eastAsia="宋体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  <w:r>
      <w:rPr>
        <w:rStyle w:val="6"/>
        <w:rFonts w:ascii="Times New Roman" w:hAnsi="Times New Roman" w:eastAsia="宋体"/>
        <w:kern w:val="2"/>
        <w:sz w:val="18"/>
        <w:szCs w:val="24"/>
        <w:lang w:val="en-US" w:eastAsia="zh-CN" w:bidi="ar-SA"/>
      </w:rPr>
      <w:t xml:space="preserve">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6"/>
        <w:rFonts w:ascii="DejaVu Sans" w:hAnsi="DejaVu Sans" w:eastAsia="宋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F1D49C2"/>
    <w:rsid w:val="FE9B1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DejaVu Sans" w:hAnsi="DejaVu Sans" w:eastAsia="宋体"/>
      <w:kern w:val="2"/>
      <w:sz w:val="18"/>
      <w:szCs w:val="24"/>
      <w:lang w:val="en-US" w:eastAsia="zh-CN" w:bidi="ar-SA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8">
    <w:name w:val="TableNormal"/>
    <w:semiHidden/>
    <w:uiPriority w:val="0"/>
  </w:style>
  <w:style w:type="character" w:customStyle="1" w:styleId="9">
    <w:name w:val="UserStyle_0"/>
    <w:basedOn w:val="6"/>
    <w:link w:val="1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0">
    <w:name w:val="UserStyle_1"/>
    <w:basedOn w:val="6"/>
    <w:link w:val="1"/>
    <w:qFormat/>
    <w:uiPriority w:val="0"/>
    <w:rPr>
      <w:rFonts w:ascii="仿宋_GB2312" w:eastAsia="仿宋_GB2312"/>
      <w:color w:val="000000"/>
      <w:sz w:val="28"/>
      <w:szCs w:val="28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 textRotate="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专业版_10.1.0.6280_F1E327BC-269C-435d-A152-05C5408002CA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2020-12-11T22:55:29Z</dcterms:created>
  <dc:creator>emind</dc:creator>
  <cp:lastModifiedBy>emind</cp:lastModifiedBy>
  <cp:lastPrinted>2020-12-11T22:58:39Z</cp:lastPrinted>
  <dcterms:modified xsi:type="dcterms:W3CDTF">2020-12-11T23:00:05Z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2052-10.1.0.6280</vt:lpwstr>
  </property>
</Properties>
</file>