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附件18</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沙沟乡履行职责事项清单</w:t>
      </w:r>
    </w:p>
    <w:p>
      <w:pPr>
        <w:rPr>
          <w:rFonts w:ascii="方正公文小标宋" w:eastAsia="方正公文小标宋"/>
          <w:sz w:val="84"/>
          <w:szCs w:val="84"/>
          <w:lang w:eastAsia="zh-CN"/>
        </w:rPr>
      </w:pPr>
      <w:bookmarkStart w:id="12" w:name="_GoBack"/>
      <w:bookmarkEnd w:id="12"/>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公文小标宋" w:hAnsi="方正公文小标宋" w:eastAsia="方正公文小标宋" w:cs="方正公文小标宋"/>
          <w:snapToGrid w:val="0"/>
          <w:color w:val="000000"/>
          <w:kern w:val="0"/>
          <w:sz w:val="44"/>
          <w:szCs w:val="44"/>
          <w:lang w:val="en-US" w:eastAsia="en-US" w:bidi="ar-SA"/>
        </w:rPr>
        <w:id w:val="147469911"/>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7"/>
            <w:numPr>
              <w:ilvl w:val="0"/>
              <w:numId w:val="0"/>
            </w:numPr>
            <w:tabs>
              <w:tab w:val="right" w:leader="dot" w:pos="14001"/>
            </w:tabs>
            <w:ind w:leftChars="0"/>
          </w:pPr>
          <w:r>
            <w:rPr>
              <w:rFonts w:hint="eastAsia" w:eastAsia="方正小标宋_GBK" w:cs="Times New Roman"/>
              <w:color w:val="auto"/>
              <w:spacing w:val="7"/>
              <w:sz w:val="32"/>
              <w:szCs w:val="32"/>
              <w:lang w:val="en-US" w:eastAsia="zh-CN"/>
            </w:rPr>
            <w:t>1.</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_Toc26789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_Toc26789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2.</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_Toc982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_Toc982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3.</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_Toc20409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_Toc20409 \h </w:instrText>
          </w:r>
          <w:r>
            <w:fldChar w:fldCharType="separate"/>
          </w:r>
          <w:r>
            <w:t>43</w:t>
          </w:r>
          <w:r>
            <w:fldChar w:fldCharType="end"/>
          </w:r>
          <w:r>
            <w:rPr>
              <w:rFonts w:ascii="Times New Roman" w:hAnsi="Times New Roman" w:eastAsia="方正小标宋_GBK" w:cs="Times New Roman"/>
              <w:color w:val="auto"/>
              <w:spacing w:val="7"/>
              <w:szCs w:val="44"/>
              <w:lang w:eastAsia="zh-CN"/>
            </w:rPr>
            <w:fldChar w:fldCharType="end"/>
          </w:r>
        </w:p>
        <w:p>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pPr>
        <w:rPr>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2678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学习贯彻</w:t>
            </w:r>
            <w:r>
              <w:rPr>
                <w:rFonts w:hint="eastAsia" w:ascii="Times New Roman" w:hAnsi="方正公文仿宋" w:eastAsia="方正公文仿宋"/>
                <w:kern w:val="0"/>
                <w:szCs w:val="21"/>
                <w:lang w:bidi="ar"/>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做好村“两委”队伍建设和管理，建立健全网格服务管理体系，指导村开展网格化服务管理工作，引导广大干部群众参与志愿服务。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负责养老服务补贴、护理补贴、高龄津贴申请受理、审核及上报工作，指导各村做好老年活动室、老年饭桌、适老化改造等保障老年人权益工作。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应急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982"/>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1.对辖区内道路开展日常巡查；2.及时上报巡查发现的积水情况，协助做好积水处置相关工作。3.指导并做好乡村道路积水处置。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2.指导发挥网格员作用，对建筑管理单位、村民委员会发现上报的违规行为进行劝阻、制止，责令改正；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西吉县住房和城乡建设局:1.统筹开展全县范围内城乡危旧房及自建房排查整治指导监督检查工作。2.统筹推进全县城乡危旧房及自建房等建筑安全隐患排查工作。3.统筹实施城乡危旧房及自建房整治。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2.配合上级主管部门做好房屋等级鉴定，建立完善隐患台账。3.针对存在安全隐患的房屋，引导产权人（使用人）及时采取管控措施和工程措施，消除安全隐患。4.对符合政策的，争取实施农房改造工程。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负责指导农房建设管理，负责农房（抗震房）设计图集编制推广、指导建设质量安全管理、指导隐患排查整治、开展乡村建设工匠管理等工作；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1.开展土地现状调查，拟定征地补偿安置方案。2.征求被征收土地所有权人的意见。3.发布土地征收公告。4.对拟征收土地开展勘测定界。5.签订征地补偿安置协议。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1.协助相关部门开展土地现状调查、公告、听取被征收土地所有权人意见。2.组织土地所有权人、使用权人与相关部门签订征地补偿协议。3.调解土地征收过程中出现的矛盾和问题。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1.制定防汛预案，加强安全教育宣传，提高安全意识。2.组织排查，发现险情及时上报，第一时间采取措施。3.履行小（2）型水库、淤地坝、蓄水池防汛行政责任、日常巡护维护责任。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西吉县水务局：1.提供政策依据；2.对河道、水源、堤坝、水库等涉水设施的建设、维护；3.提供必要的物资保障。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1.加强政策宣传；2.开展日常巡查巡护；3.发现问题及时上报；4.对辖区隐患能力范围内化解。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牵头负责燃气领域安全生产监督管理，统筹各行业部门开展各自行业领域燃气安全隐患排查整治工作，对各类燃气安全隐患和违法行为进行查处；2．督促燃气经营企业落实燃气设施定期巡检维护、入户安检等安全生产职责。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1.负责燃气充装、检验检测机构的监督管理，监督燃气充装单位对气瓶进行定期检验和报废处理；负责城镇燃气领域特种设备安全监管；2.负责生产、销售环节燃气燃烧器具和燃气相关产品质量监管，依法处理制售假冒伪劣产品的违法行为；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2.监督管理：对本乡范围内的国土空间开发利用情况进行日常巡查和监督，及时发现和制止违法违规用地、建设等行为。配合上级部门开展执法检查，提供相关信息和协助。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西吉县交通运输局、西吉县发展和改革局、西吉县财政局、西吉县自然资源局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
、西吉县应急管理局、西吉县自然资源局、西吉县农业农村局、西吉县消防救援大队、西吉县市场监督管理局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3.验收管理环节，对农民自建住宅的宅基地使用情况进行验收，可受委托实施规划核实和建筑工程质量监督，牵头组织、监督竣工验收。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西吉县自然资源局：1.负责临时建设用地的规划管理、土地现状调查、监督检查等工作。2.负责临时用地审批、备案、监管、复垦验收等工作。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1.对本辖区建筑施工领域进行安全检查；2.发现安全生产隐患和违法行为并具备处置能力的及时制止，责令限期整改；3.对拒不整改、存在重大安全隐患等情形的及时上报有关部门。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2.对商户落实“门前三包”责任制度进行不定期抽查，发现存在乱堆乱放、乱张贴、占道经营等市容问题及时通报给乡镇，督促商户立即整改；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1.政策宣传；2.日常巡查；3.违法情形上报。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在汛期前进行公路基础设施的全面安全检查，包括桥梁、隧道、边坡、挡土墙、桥涵、排水设施等。对于发现的隐患，如桥梁基础冲刷、边坡滑塌等，需要及时进行修复和加固。2.制定和完善应急预案，落实应急值班值守，优化应急抢险救灾力量布局。组织开展汛期演练，提高应急处置能力；在汛期，需要保障重点物资运输畅通有序，及时有效应对突发事件。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2.协助职责部门做好“小雨关注、中雨巡查、大雨值守、暴雨管控”相关工作。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2.上报查看信息。3.协助上级部门办理资产划转所需的各种手续。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2.负责县道的养护工作。具体包括：道路巡查、路面及桥面保洁、路肩边坡水毁处置及蒿草修剪，行道树、桥梁、涵洞、交安设施刷新刷白等工作；3.负责县道管理工作。具体包括：乡村道路及其沿线设施的管护，制止各种侵占、损坏公路、公路用地、公路附属设施的违法行为；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西吉县交通运输局：1.开展道路安全宣传教育工作，普及道路安全知识。2.定期进行检查和检修，及时发现并修复路面问题。3.负责道路维护养护工作。4.对道路安全隐患问题及时处理。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1.负责乡村两级项目公示并做好两级会议记录；2.配合做好资产移交手续；3.做好移交项目的运营维护；4.配合做好征地拆迁及资金兑付。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1.对辖区内的村组道路安全隐患进行全面排查；2.对发现的安全事故隐患采取必要的应急措施并及时上报相关部门处理；3.发挥好“两站两员”作用。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西吉县农业农村局：1.督导村级提交符合“雨露计划”条件的学生名单。2.在自治区“雨露计划”信息平台中对符合条件的学生进行审核公示。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1.政策宣传和群众参保引导；2.收集失地农民的报审材料；3.对失地农民的相关信息进行初步审核；4.将初步审核通过的材料及时上报给上级部门。5.配合自然资源局进行公示。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疾人联合会：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做好殡葬改革和移风易俗的宣传教育工作；2.联合西吉县住房和城乡建设局、西吉县公安局、乡镇及社区工作人员对小区内搭建灵棚治丧投诉进行治理；3.负责对农村公益性墓地进行规范管理，将农村公益性墓地纳入年度随机抽查、专项检查；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1.配合做好辖区搭建灵棚治理工作；2.排查核实辖区内散埋乱葬等情况；3.统计上报迁坟资料；4.做好殡葬改革和移风易俗的宣传教育工作。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西吉县教育体育局：1.依法履行学校周边治理和学校安全的监督与管理职责；2.履行安全教育职责。3.开展学校安全生产排查、隐患整改等工作。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1.配合定期内对辖区内的学校消防设施、食品安全等进行安全检查或评估，确保学校各项安全措施得到有效执行；2.协调教育、公安、消防、卫生等共同做好学校安全改正；3.加强对学校安全知识的宣传和教育。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1.受理、转送、交办信访事项；2.协调解决重要信访问题；3.督促检查重要信访事项的处理和落实；4.综合反映信访信息，分析研判信访形势，为党委和政府提供决策参考；5.指导本级其他机关、单位和下级的信访工作；6.提出改进工作、完善政策和追究责任的建议；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1.协助开展心理疏导，预防精神障碍疾患发生；2.为生活困难的精神障碍患者家庭提供帮助，审核发放严重精神障碍患者看护管理补贴；3.协助其他乡镇做好在本辖区居住的精神障碍患者的卫生服务工作。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根据乡镇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2.根据上级部门反馈的房屋鉴定结果，对鉴定为C级房屋且具备条件的，动员群众进行加固，对鉴定为D级房屋的劝导群众搬离。3.配合上级住建、市场监管部门做好政策宣传和群众思想工作。4.配合做好危房加固、临时保障性住房政策落实以及困难群众的救济救助工作。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1.负责协调本级防范和处置非法集资工作，汇总、上报有关工作信息；2.全面做好非法集资风险排查和监测预警工作，加强政策解读，通报相关形势，统筹做好宣传教育工作，提高防范非法集资宣传教育的针对性、有效性；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2.开展防范非法集资宣传工作；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2.传达落实上级文件精神，开展“扫黄打非”进基层宣传工作；3.制定工作计划、定期开展“扫黄打非”专题会议，研判“扫黄打非”工作新形势；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1.开展校园周边防火、用水、用电、饮食卫生、交通安全等方面的安全宣传教育活动；2.开展未成年人防溺水安全知识宣传；3.配合相关部门做好校园周边安全治理。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1.发现流浪乞讨人员及时上报主管部门；2.对本乡有监护人的流浪乞讨人员进行安置；3.对本乡无监护人的流浪乞讨人员配合民政部门进行安置。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西吉县农业农村局：1.统筹养殖业合作社、农场监管工作。2.会同相关部门对乡推荐的示范社和示范场进行考评验收。3.对符合县级示范社和示范场的农民合作社和家庭农场进行公示，公示无异议后予以认定授牌。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2.对旅游资源进行普查、评估、登记、建立旅游资源信息库；3.会同有关部门负责指导、协调、监督旅游资源的保护、开发和利用；4.保障旅游用地，完善旅游宣传推广体系，发展旅游项目，推动旅游产业发展与新型工业化、信息化、城镇化和农业现代化相结合，推动观光、休闲、度假旅游协同发展；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西吉县卫生健康局、农业农村局、工业和信息化局、商务和投资促进局、交通运输局、固原市生态环境局西吉县分局，依照各自的工作职责，做好食品监督管理工作。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重大动物疫情发生后，立即派专业人员到现场，划定疫点、疫区和受威胁区，调查疫源，向本级人民政府提出启动重大动物疫情应急指挥系统、应急预案和对疫区实行封锁的建议；2.设置临时动物检疫消毒站以及采取隔离、扑杀、销毁、消毒、紧急免疫接种等控制、扑灭措施；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1.宣传动物疫病防治相关知识，加强日常巡查，发现异常情况及时上报；2.发生重大动物疫情时，协助做好疫情信息的收集工作；3.组织力量，协助做好疫情信息各项应急处理措施的落实工作。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1.对本辖区大棚房等农业生产领域进行安全检查；2.发现安全生产隐患和违法行为并具备处置能力的及时制止，责令限期整改；3.对拒不整改、存在重大安全隐患等情形的及时上报有关部门。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组织开展农作物病虫害监测并及时向上级部门报告监测信息，发布农作物病虫害预报；2.组织制定本行政区域农作物病虫害预防控制方案，健全农作物病虫害防治体系；3.为农业生产经营者提供技术培训、指导、服务，指导农业生产经营者选用抗病、抗虫品种等健康栽培管理措施预防病虫害；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2.协助做好农作物病虫害监测预报工作，发现问题及时上报农业农村部门；3.配合农业农村部门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西吉县农业农村局、西吉县市场监督管理局、西吉县委统战部、西吉县住房和城乡建设局、西吉县卫生健康局、西吉县工业和信息化局、西吉县商务和投资促进局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西吉县农业农村局：1.督促企业落实安全生产主体责任；2.负责做好安全宣传；3.开展安全检查，针对排查发现的问题，督促企业按时完成问题整改。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西吉县水务局：1.针对人饮工程情况制定可行性供水方案；2.实施农村饮水安全巩固提升工程，更换改造铺设管道、新建阀井、管道穿渠等；3.进行人饮工程施工及运行管理；4.监督水站规范运行。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1.开展农村饮用水情况调查；2.配合第三方统计自来水存在问题并按照要求完成整改；3.宣传冬季自来水防冻工作；4.收集整理水质检测报告并下发至各村。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西吉县农业农村局：1.对乡（镇）上报贷款信息进行系统录入；2.每月对小额信贷贷款情况进行通报；3.对小额信贷风险进行防控，及时按照协议规定，在银行注入风险补偿金。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西吉县农业农村局：1.对就业帮扶车间进行重新认定和置换；2.监督管理就业帮扶车间安全生产状况进行，组织负责人进行安全生产培训；3.协调下发就业帮扶车间补贴资金。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指导全县帮扶车间的运行管理，会同农业农村局、人社等部门完成帮扶车间的重新认定。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1.政策宣传；2.开展摸排；3.及时上报给上级相关部门。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1.大力宣传金融帮扶政策，提高农户政策知晓率；2.对需要金融帮扶的农户进行资格审核；3.配合做好入户核查、公开公示、资金发放、逾期贷款收缴等。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八、应急管理与消防（11项）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1、依法对存在重大事故隐患的生产经营单位作出停产停业、停止施工、停止使用相关设施或者设备的决定，生产经营单位应当依法执行，及时消除事故隐患。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1、负责协助上级有关部门依法履行安全生产监督管理职责。2、按照职责对存在重大事故隐患的生产经营单位加强监督检查。3、发现情况及时上报。4、协助做好相关工作。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指导应急预案体系建设，建立完善事故灾难、自然灾害分级应对和灾情统计制度。2.组织编制辖区总体应急预案和安全生产类、自然灾害类专项预案，综合协调应急预案衔接工作，组织开展生产安全事故、自然灾害应急演练，推动应急避难设施建设。3.建立应急协调联动机制，推进指挥平台对接。组织、协调本行政区域的自然灾害救助工作。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乡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1.积极宣传安全知识；2.配合上级部门督查检查、整改；3.对发现的问题及时上报有关部门处理。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1.依法行使消防安全综合监管职能，推动落实消防安全责任制。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全县地质灾害防治的组织、协调、指导和监督工作；2.会同城乡建设和交通运输、水利、应急管理等部门对地质灾害险情进行动态监测，提出应急治理措施，减轻和控制地质灾害灾情；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2.在地质灾害重点防范期内，加强地质灾害险情的巡回检查；3.发现险情或接到报告后，按照应急预案，开展先期处置，并及时上报信息；4.做好群众撤离转移等工作；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西吉县公安局：1.审批承办者递交的大型群众性活动申请；2.做好大型群众性活动的安全管理。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1.做好本辖区举办的大型群众性活动的安全隐患排查；2.发现安全生产隐患和违法行为并具备处置能力的及时制止，责令限期整改；3.对拒不整改、存在重大安全隐患等情形及时上报。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西吉县应急管理局、西吉县工业和信息化局、西吉县商务和投资促进局、西吉县市场监督管理局、西吉县住房和城乡建设局、西吉县消防救援大队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2.发现安全生产隐患和违法行为并具备处置能力的及时制止，责令限期整改；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1.发现或收到群众举报噪音扰民问题及时劝告制止；2.经劝告制止无效的上报固原市生态环境局西吉分局、西吉县公安局等主管部门；3.做好执法相关群众走访、现场确认等工作。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西吉县水务局：1.按照规定的权限，负责本行政区域内水资源的统一管理；2.监督本行政区域内水资源管理、使用等工作；3.抓好河湖“四乱”及反馈问题整治工作。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1.对辖区内河道进行日常巡查，做好记录，并将巡查情况上报有关部门；2.协助上级部门整治违法违规的“四乱”问题，对河道沟道内偷倒的生活垃圾开展清理工作；3.协助做好水质监测及污染防治相关工作。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2.制定工业固体废物污染环境防治工作规划，组织建设工业固体废物集中处置等设施，推动工业固体废物污染环境防治工作。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1.配合生态环境分局对辖区涉危废、固废随意倾倒、处置行为进行全面排查。2.配合生态环境分局对辖区内的危废、固废问题进行整改。3.督促辖区存在危废、固废问题的企业按时完成整改。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1.宣传粪污处理及资源化利用相关政策。2.配合农业农村和水务局督促养殖户和企业实施粪污处理和资源化利用项目。3.对粪污处理及台账记录情况进行检查。4.对检查发现的问题及时上报。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2.加强监督检查，重点对农村集体聚餐食品食材进行检查，提醒消费者和食品经营者隔离储存非食用原料及危险化学品与食品；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2.负责农村集体聚餐信息收集、登记备案、情况上报；3.按要求进行现场指导；4.督促农村食品安全协管员按要求开展工作；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收到上级卫片图斑信息后，对卫片图斑进行对比甄别、实地查看、系统核实定，判定是否违法。2.对违法案件，按照查处到位、责任追究到位、恢复到位的原则进行案件处置。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2.按时将耕地和基本农田图斑反馈各乡镇，指导督促各乡镇对反馈图斑问题进行现场核实整改，核查上传图斑举证情况。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2.配合处置耕地违法占地、用地图斑。3.配合排查违法违规破坏耕地问题。4.配合核实年度变更调查耕地流出问题。5.配合落实耕地保护督查反馈问题整改。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负责做好组织动员、督促指导、进度调度、联络协调、核查验收等。2.审核汇总撂荒耕地台账，总结评估撂荒耕地摸底情况。3.负责制定撂荒耕地调查摸底工作方案，确定需要复耕复种地块，明确复耕要求，开展培训指导，指导乡镇开展撂荒耕地实地核查工作。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2.配合自然资源局全面摸清耕地撂荒底数，查清撂荒原因，建立排查台账并上报。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认真落实耕地占补平衡，科学储备补充耕地指标；依据项目用地需求，审核是否符合耕地占补平衡要求，对需要落实耕地占补平衡的，对接自然资源部门落实指标，并督促落实项目占用耕地先补后占原则；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西吉县林业和草原局:1.对古树名木进行确定、登记、挂牌，发布古树名录。2.组织专业技术力量对濒危古树名木开展抢救复壮。3.对损坏古树名木的情况进行打击处理。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西吉县水务局：1.对辖区内的河道进行定期不定期检查；2.对存在河道四乱问题进行督查通报；3.对违法行为进行查处。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1.接受上级传达的违法图斑信息；2.根据经纬度坐标实地考察；3.与当事人联系对违法图斑进行整改，对拒不整改或违法的行为报上级水务部门。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1.摸排辖区内的闲置空地的基础信息；2.核实土地权属、面积、性质等基础信息；3.分类摸清存量闲置土地底数，建立台账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20409"/>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西吉县水务局、西吉县林业和草原局：依照法律法规要求，按照职责权限对在水土流失重点预防区和重点治理区铲草皮、挖树兜等行为进行处罚。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按照管理权限对非法占用土地的行为核实后进行处罚。                                                              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对违反规定的，责令停止违法行为，限期改正，给予警告，并处罚款2.在定期开展检查并对检查中发现或者接到举报相关违法活动行为审查立案的，指定专人负责，与当事人有直接利害关系的应当回避。执法人员不得少于两人，调查时应当出示执法证件，允许当事人辩解陈述，执法人员应当保守有关秘密。3.在做出行政处罚决定前，应书面告知当事人违法事实及其享有的陈述、申辩、要求听证等权利。4.根据审理情况决定是否行政处罚。依法需要给予行政处罚的，应制作行政处罚决定书，载明违法事实和证据、处罚依据和内容、申请行政复议或提起行政诉讼的途径和期限等内容。5.行政处罚决定书应当按规定的时间内送达当事人。6.当事人在法定期限内不申请行政复议或者提起行政诉讼，又不履行的，可依法采取申请人民法院强制执行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1.除责令其恢复原状外，可以并处罚款。2.盗窃、损坏各类环境卫生设施及其附属设施，应当给予治安管理处罚的，依照《中华人民共和国治安管理处罚法》的规定处罚。3.构成犯罪的，依法追究刑事责任。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实施燃煤锅炉超低排放改造；2.深化工业炉窑综合治理，依法依规关闭热效率低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督管理部门报告；2.根据事故等级，配合或会同有关部门做好事故救援、应急处置和善后处理等工作；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西吉县农业农村局：1.开展病死动物无害化处理宣传；2.对病死动物进行无害化处理。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西吉县卫生健康局、西吉县教育体育局、西吉县交通运输局、西吉县文化和旅游广电局等部门：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1.开展禁烟宣传；2.按照各自职责对公共场所吸烟行为进行管理；3.对在禁止吸烟场所吸烟的，按照各自职责，责令改正；拒不改正的，处五十元罚款。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西吉县妇女联合会：协调组织保险公司到各村进行保费收缴，并督促保险公司严格按照规定要求做好保险收缴及资金赔付，解决农户需求。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西吉县自然资源局和西吉县农业农村局：按照职责权限责令其限期整改或者治理，可以并处罚款；构成犯罪的，依法追究刑事责任。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西吉县林业和草原局：1.根据实际需要建设护林设施，加强森林资源保护；2.划定护林责任区、配备专职或者兼职护林员；3.按照权限和程序做好采伐许可证的核发；4.依法查处破坏森林资源等违法行为。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8B90B18"/>
    <w:rsid w:val="2B361B4E"/>
    <w:rsid w:val="5302750A"/>
    <w:rsid w:val="535840BB"/>
    <w:rsid w:val="5DAFBFB3"/>
    <w:rsid w:val="5DFFCE4B"/>
    <w:rsid w:val="5EBE27E8"/>
    <w:rsid w:val="D2C79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82</Words>
  <Characters>86</Characters>
  <Lines>1</Lines>
  <Paragraphs>1</Paragraphs>
  <TotalTime>3</TotalTime>
  <ScaleCrop>false</ScaleCrop>
  <LinksUpToDate>false</LinksUpToDate>
  <CharactersWithSpaces>95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guyuan</cp:lastModifiedBy>
  <cp:lastPrinted>2025-04-26T00:06:00Z</cp:lastPrinted>
  <dcterms:modified xsi:type="dcterms:W3CDTF">2025-09-11T18:22:35Z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2052-11.8.2.10552</vt:lpwstr>
  </property>
  <property fmtid="{D5CDD505-2E9C-101B-9397-08002B2CF9AE}" pid="4" name="ICV">
    <vt:lpwstr>BCA785F3662F49D0B42FF7492E99C2EE_12</vt:lpwstr>
  </property>
</Properties>
</file>