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附件4</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平峰镇履行职责事项清单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eastAsia" w:ascii="宋体" w:hAnsi="宋体" w:eastAsia="宋体" w:cs="宋体"/>
          <w:b/>
          <w:bCs/>
          <w:snapToGrid w:val="0"/>
          <w:color w:val="000000"/>
          <w:sz w:val="32"/>
          <w:szCs w:val="21"/>
          <w:lang w:val="zh-CN" w:eastAsia="en-US"/>
        </w:rPr>
      </w:sdtEndPr>
      <w:sdtContent>
        <w:sdt>
          <w:sdtPr>
            <w:rPr>
              <w:rFonts w:ascii="Times New Roman" w:hAnsi="Times New Roman" w:eastAsia="Arial" w:cs="Times New Roman"/>
              <w:snapToGrid w:val="0"/>
              <w:color w:val="000000"/>
              <w:sz w:val="21"/>
              <w:szCs w:val="21"/>
              <w:lang w:val="zh-CN" w:eastAsia="en-US"/>
            </w:rPr>
            <w:id w:val="147457756"/>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.....................................................................................................................................14</w:t>
              </w:r>
            </w:p>
            <w:p>
              <w:pPr>
                <w:pStyle w:val="7"/>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.............................................................................................................................44</w:t>
              </w:r>
            </w:p>
          </w:sdtContent>
        </w:sdt>
        <w:p>
          <w:pPr>
            <w:pStyle w:val="7"/>
            <w:numPr>
              <w:ilvl w:val="0"/>
              <w:numId w:val="0"/>
            </w:numPr>
            <w:ind w:leftChars="0"/>
            <w:jc w:val="distribute"/>
            <w:rPr>
              <w:rFonts w:hint="eastAsia" w:ascii="宋体" w:hAnsi="宋体" w:eastAsia="宋体" w:cs="宋体"/>
              <w:b/>
              <w:bCs/>
              <w:lang w:val="zh-CN"/>
            </w:rPr>
          </w:pPr>
        </w:p>
        <w:p>
          <w:pPr>
            <w:pStyle w:val="7"/>
            <w:numPr>
              <w:ilvl w:val="0"/>
              <w:numId w:val="0"/>
            </w:numPr>
            <w:ind w:leftChars="0"/>
            <w:rPr>
              <w:rFonts w:hint="eastAsia" w:ascii="宋体" w:hAnsi="宋体" w:eastAsia="宋体" w:cs="宋体"/>
              <w:b/>
              <w:bCs/>
              <w:lang w:val="zh-CN"/>
            </w:rPr>
          </w:pP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落实党中央决策部署及上级党委工作要求，讨论和决定本镇经济建设、政治建设、文化建设、社会建设、生态文明建设和党的建设及乡村振兴中的重大问题，落实全面深化改革涉及的具体任务。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落实纪委监督责任，推动镇村两级监督体系建设，做好群众来信、来访、来电及网络举报的受理，按照权限分类处置问题线索，配合上级纪委做好案件监督管理、执纪执法评查等工作。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做好志愿者队伍建设和管理，建立健全网格服务管理体系，指导各村开展网格化服务管理工作，引导广大干部群众参与志愿服务。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负责组织本辖区召开镇人民代表大会，按照要求做好人大代表选举工作，组织人大代表开展视察调研，加强人大代表家站建设，强化人大代表履职保障工作，办理和督促办理人大代表议案建议。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编制并执行财政预决算，加强和规范镇、村两级财务收支管理。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各村做好老年活动室、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负责做好就业劳动力转移，建立劳动力资源台账，拓展务工基地，打造劳务品牌，推介用工信息，强化维权服务，指导组织村级劳动力转移增收。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负责做好就业劳动力转移，建立劳动力资源台账，拓展务工基地，打造劳务品牌，推介用工信息，强化维权服务，指导组织村级劳动力转移就业增收。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加强全民普法宣教服务，实施镇村“法律明白人”培养工程，推进基层法治文化建设，开展公共法律服务。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加强人民调解队伍建设，依法成立镇人民调解委员会，做好人民调解工作。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组织实施农田水利基本建设，开展已移交镇村的水利基础设施巡查、管护工作。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支持指导本镇农户发展庭院经济。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编制乡镇规划、村庄规划和控制性详细规划并组织实施，按照管理权限做好公共基础设施建设维护工作，依法处置本镇、村庄规划区内的违规建设行为，做好违章建筑的拆除工作。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按权限落实镇村工程项目招投标监督与施工管理。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镇村公共文化体育设施网络，负责公共文化体育设施的管理维护，组织开展形式多样的群众性文化体育、节日民俗、全民健身等活动，充分利用广播电视、视听网络和书籍报刊，拓展镇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加强“红军长征一二方面军领导人会面纪念亭”的保护、传承与推广。</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2.及时上报巡查发现的积水情况，协助做好积水处置相关工作。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西吉县住房和城乡建设局:1.统筹开展全县范围内城乡危旧房及自建房排查整治指导监督检查工作。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2.统筹推进全县城乡危旧房及自建房等建筑安全隐患排查工作。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2.配合上级主管部门做好房屋等级鉴定，建立完善隐患台账。3.针对存在安全隐患的房屋，引导产权人（使用人）及时采取管控措施和工程措施，消除安全隐患。4.对符合政策的，争取实施农房改造工程。5.对农村自建房督查检查，发现安全隐患的房屋及时督促落实整改；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2.组织排查，发现险情及时上报，第一时间采取措施。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西吉县水务局：1.提供政策依据；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2.对河道、水源、堤坝、水库等涉水设施的建设、维护；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西吉县住房和城乡建设局、西吉县市场监督管理局、西吉县应急管理局、西吉县商务和投资促进局等涉及的行业主管部门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2.监督管理：对本乡范围内的国土空间开发利用情况进行日常巡查和监督，及时发现和制止违法违规用地、建设等行为。配合上级部门开展执法检查，提供相关信息和协助。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西吉县交通运输局、西吉县发展和改革局、西吉县财政局、西吉县自然资源局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
、西吉县应急管理局、西吉县自然资源局、西吉县农业农村局、西吉县消防救援大队、西吉县市场监督管理局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3.验收管理环节，对农民自建住宅的宅基地使用情况进行验收，可受委托实施规划核实和建筑工程质量监督，牵头组织、监督竣工验收。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西吉县自然资源局：1.负责临时建设用地的规划管理、土地现状调查、监督检查等工作。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西吉县交通运输局：1.负责在汛期前进行公路基础设施的全面安全检查，包括桥梁、隧道、边坡、挡土墙、桥涵、排水设施等。对于发现的隐患，如桥梁基础冲刷、边坡滑塌等，需要及时进行修复和加固。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2.制定和完善应急预案，落实应急值班值守，优化应急抢险救灾力量布局。组织开展汛期演练，提高应急处置能力；在汛期，需要保障重点物资运输畅通有序，及时有效应对突发事件。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2.协助职责部门做好“小雨关注、中雨巡查、大雨值守、暴雨管控”相关工作。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2.上报查看信息。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3.协助上级部门办理资产划转所需的各种手续。         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1.开展道路安全宣传教育工作，普及道路安全知识。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2.定期进行检查和检修，及时发现并修复路面问题。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3.负责道路维护养护工作。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1.负责镇村两级项目公示并做好两级会议记录；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3.做好移交项目的运营维护；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2.对发现的安全事故隐患采取必要的应急措施并及时上报相关部门处理；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1.督导村级提交符合“雨露计划”条件的学生名单。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2.在自治区“雨露计划”信息平台中对符合条件的学生进行审核公示。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3.对已审核公示的学生发放“雨露计划”补助。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1.在自治区“雨露计划”信息平台中提交受助学生资料，进行镇（村）审核公示。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2.收集失地农民的报审材料；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3.对失地农民的相关信息进行初步审核；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4.将初步审核通过的材料及时上报给上级部门。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疾人联合会：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2.联合西吉县住房和城乡建设局、西吉县公安局、乡镇及社区工作人员对小区内搭建灵棚治丧投诉进行治理；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西吉县教育体育局：1.依法履行学校周边治理和学校安全的监督与管理职责；2.履行安全教育职责。3.开展学校安全生产排查、隐患整改等工作。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1.配合定期内对辖区内的学校消防设施、食品安全等进行安全检查或评估，确保学校各项安全措施得到有效执行；2.协调教育、公安、消防、卫生等共同做好学校安全改正；3.加强对学校安全知识的宣传和教育。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1.受理、转送、交办信访事项；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2.协调解决重要信访问题；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4.综合反映信访信息，分析研判信访形势，为党委和政府提供决策参考；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5.指导本级其他机关、单位和下级的信访工作；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6.提出改进工作、完善政策和追究责任的建议；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西吉县应急管理局、西吉县住房和城乡建设局、西吉县市场监督管理局、西吉县民政局、西吉县卫生健康局等相关部门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西吉县应急管理局：1.组织协调开放行业部门管理的应急避难场所；2.及时协调调度应急物资保障临时安置群众生活所需；3.按规定做好符合条件的特殊困难群众救济救助工作。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根据乡镇上报的房屋安全排查情况，组织第三方检测机构开展鉴定，并将鉴定结果及时反馈相关部门和乡镇；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2.根据上级部门反馈的房屋鉴定结果，对鉴定为C级房屋且具备条件的，动员群众进行加固，对鉴定为D级房屋的劝导群众搬离。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3.配合上级住建、市场监管部门做好政策宣传和群众思想工作。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4.配合做好危房加固、临时保障性住房政策落实以及困难群众的救济救助工作。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1.“扫黄打非”进基层，成立基层站点，设立组织机构，制度上墙；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2.传达落实上级文件精神，开展“扫黄打非”进基层宣传工作；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3.制定工作计划、定期开展“扫黄打非”专题会议，研判“扫黄打非”工作新形势；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2.对本镇有监护人的流浪乞讨人员进行安置；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西吉县农业农村局：1.统筹养殖业合作社、农场监管工作。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2.配合做好处置工作，开展教育帮助。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西吉县卫生健康局、西吉县农业农村局、西吉县工业和信息化局、西吉县商务和投资促进局、西吉县交通运输局、固原市生态环境局西吉县分局，依照各自的工作职责，做好食品监督管理工作。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西吉县农业农村局、西吉县市场监督管理局、西吉县委统战部、西吉县住房和城乡建设局、西吉县卫生健康局、西吉县工业和信息化局、西吉县商务和投资促进局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农业农村部门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西吉县卫生健康局、西吉县工业和信息化局、西吉县商务和投资促进局等部门，依照各自的工作职责，做好食用农产品食品监督管理工作。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1.对就业帮扶车间进行重新认定和置换；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2.监督管理就业帮扶车间安全生产状况进行，组织负责人进行安全生产培训；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1.指导全县帮扶车间的运行管理，会同农业农村局、人社等部门完成帮扶车间的重新认定。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依法对存在重大事故隐患的生产经营单位作出停产停业、停止施工、停止使用相关设施或者设备的决定，生产经营单位应当依法执行，及时消除事故隐患。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1、负责协助上级有关部门依法履行安全生产监督管理职责。2、按照职责对存在重大事故隐患的生产经营单位加强监督检查。3、发现情况及时上报。4、协助做好相关工作。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指导应急预案体系建设，建立完善事故灾难、自然灾害分级应对和灾情统计制度。2.组织编制辖区总体应急预案和安全生产类、自然灾害类专项预案，综合协调应急预案衔接工作，组织开展生产安全事故、自然灾害应急演练，推动应急避难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3.建立应急协调联动机制，推进指挥平台对接。组织、协调本行政区域的自然灾害救助工作。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乡镇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2.配合上级部门督查检查、整改；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西吉县消防救援大队：1.依法行使消防安全综合监管职能，推动落实消防安全责任制。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2.会同城乡建设和交通运输、水利、应急管理等部门对地质灾害险情进行动态监测，提出应急治理措施，减轻和控制地质灾害灾情；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2.在地质灾害重点防范期内，加强地质灾害险情的巡回检查；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3.发现险情或接到报告后，按照应急预案，开展先期处置，并及时上报信息；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4.做好群众撤离转移等工作；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西吉县应急管理局、西吉县工业和信息化局、西吉县商务和投资促进局、西吉县市场监督管理局、西吉县住房和城乡建设局、西吉县消防救援大队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西吉县工业和信息化局、西吉县商务和投资促进局：负责工贸企业、小生产加工企业、小作坊等生产经营单位安全生产的监督管理，对安全生产隐患和违法行为进行查处。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西吉县住房和城乡建设局：配合西吉县工业和信息化局、西吉县商务和投资促进局对工贸企业、小生产加工企业、小作坊等生产经营单位建筑安全、消防验收备案的监督管理，对安全隐患和违法行为进行查处。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2.经劝告制止无效的上报固原市生态环境局西吉分局、西吉县公安局等主管部门；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西吉县水务局：1.按照规定的权限，负责本行政区域内水资源的统一管理；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2.监督本行政区域内水资源管理、使用等工作；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2.协助上级部门整治违法违规的“四乱”问题，对河道沟道内偷倒的生活垃圾开展清理工作；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4.督促农村食品安全协管员按要求开展工作；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西吉县林业和草原局:1.收到上级卫片图斑信息后，对卫片图斑进行对比甄别、实地查看、系统核实定，判定是否违法。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2.对违法案件，按照查处到位、责任追究到位、恢复到位的原则进行案件处置。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认真落实耕地占补平衡，科学储备补充耕地指标；依据项目用地需求，审核是否符合耕地占补平衡要求，对需要落实耕地占补平衡的，对接自然资源部门落实指标，并督促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西吉县林业和草原局:1.对古树名木进行确定、登记、挂牌，发布古树名录。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2.组织专业技术力量对濒危古树名木开展抢救复壮。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533654"/>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西吉县水务局、西吉县林业和草原局：依照法律法规要求，按照职责权限对在水土流失重点预防区和重点治理区铲草皮、挖树兜等行为进行处罚。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按照管理权限对非法占用土地的行为核实后进行处罚。                                                              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对违反规定的，责令停止违法行为，限期改正，给予警告，并处罚款。2.在定期检查中发现或者接到举报相关违法活动行为审查立案的，指定专人负责，与当事人有直接利害关系的应当回避。执法人员不得少于两人，调查时应当出示执法证件，允许当事人辩解陈述，执法人员应当保守有关秘密。3.在做出行政处罚决定前，应书面告知当事人违法事实及其享有的陈述、申辩、要求听证等权利。4.根据审理情况决定是否行政处罚。依法需要给予行政处罚的，应制作行政处罚决定书，载明违法事实和证据、处罚依据和内容、申请行政复议或提起行政诉讼的途径和期限等内容。5.行政处罚决定书应当按规定的时间内送达当事人。6.监督当事人在决定的期限内，履行生效的行政处罚决定。当事人在法定期限内不申请行政复议或者提起行政诉讼，又不履行的，可依法采取申请人民法院强制执行等措施。固原市生态环境局西吉分局：对随意倾倒、抛洒、堆放生活垃圾造成的环境污染问题进行监督管理。西吉县自然资源局：对涉及占用耕地等土地资源倾倒垃圾的行为进行监管。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w:t>
            </w:r>
            <w:r>
              <w:rPr>
                <w:rFonts w:hint="eastAsia" w:ascii="Times New Roman" w:hAnsi="方正公文仿宋" w:eastAsia="方正公文仿宋"/>
                <w:kern w:val="0"/>
                <w:szCs w:val="21"/>
                <w:lang w:bidi="ar"/>
              </w:rPr>
              <w:t>撒或者飘散，造成公路路面损坏，污染的，责令整改，实施行政处罚。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w:t>
            </w:r>
            <w:bookmarkStart w:id="12" w:name="_GoBack"/>
            <w:bookmarkEnd w:id="12"/>
            <w:r>
              <w:rPr>
                <w:rFonts w:hint="eastAsia" w:ascii="Times New Roman" w:hAnsi="方正公文仿宋" w:eastAsia="方正公文仿宋"/>
                <w:kern w:val="0"/>
                <w:szCs w:val="21"/>
                <w:lang w:bidi="ar"/>
              </w:rPr>
              <w:t>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1.除责令其恢复原状外，可以并处罚款。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2.盗窃、损坏各类环境卫生设施及其附属设施，应当给予治安管理处罚的，依照《中华人民共和国治安管理处罚法》的规定处罚。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1.由水务局委托第三方水投公司组织征收；收缴资金纳入财政专户管理，并对水费收缴和水价进行监管。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1.进行账号维护。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西吉县人力资源和社会保障局（西吉县就业创业和人才服务中心）：按照国家规定免费为劳动者提供以下服务：办理就业登记、失业登记等事务。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2.负责燃煤锅炉关停整合和超低排放改造和工业窑炉清洁能源替代，改造过程的监督管理；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3.负责燃煤锅炉、工业窑炉达标排放污染物的执法监管。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1.实施燃煤锅炉超低排放改造；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工业炉窑综合治理，依法依规关闭热效率低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西吉县市场监督管理局：和生态环境局、工信局加强信息共享，开展全面偏差，完善炉窑清单，覆盖全燃料种类，各行业领域、不同炉型，对工业废弃治理设施达标情况开展排查等。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1.负责接到特种设备事故报告后尽快核实并向本级人民政府和上级市场监管部门报告；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2.根据事故等级，配合或会同有关部门做好事故救援、应急处置和善后处理等工作；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3.对于一般特种设备事故无人员死亡，并且事故原因清晰、无重大社会影响的，可受市级市场监管部门委托组织开展事故调查。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1.按照职责分工，负责制定年度特种设备安全常规监督检查与证后监督检查计划，明确检查的对象、时间、程序、标准等内容，开展对特种设备生产、经营、使用单位和检验检测机构的监督检查；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1.开展病死动物无害化处理宣传；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西吉县卫生健康局、西吉县教育体育局、西吉县交通运输局、西吉县文化旅游广电局等部门：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1.开展禁烟宣传；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2.按照各自职责对公共场所吸烟行为进行管理；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西吉县妇女联合会：协调组织保险公司到各村进行保费收缴，并督促保险公司严格按照规定要求做好保险收缴及资金赔付，解决农户需求。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1.做好地质灾害的监测与预警；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2.定期开展地质灾害隐患点的排查，并进行危险性分析；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3.编制县级区域地质灾害防治方案以及应急预案，明确各部门职责和响应流程；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4.监督建设单位进行地质灾害防治责任，落实防灾措施；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西吉县自然资源局和西吉县农业农村局：按照职责权限责令其限期整改或者治理，可以并处罚款；构成犯罪的，依法追究刑事责任。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3.按照权限和程序做好采伐许可证的核发；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6777E08"/>
    <w:rsid w:val="69F0401D"/>
    <w:rsid w:val="FB666A71"/>
    <w:rsid w:val="FDFD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40351</Words>
  <Characters>41478</Characters>
  <Lines>1</Lines>
  <Paragraphs>1</Paragraphs>
  <TotalTime>2</TotalTime>
  <ScaleCrop>false</ScaleCrop>
  <LinksUpToDate>false</LinksUpToDate>
  <CharactersWithSpaces>41647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guyuan</cp:lastModifiedBy>
  <cp:lastPrinted>2025-04-24T22:34:00Z</cp:lastPrinted>
  <dcterms:modified xsi:type="dcterms:W3CDTF">2025-04-28T08:35:40Z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eyJoZGlkIjoiZWViMjE1NWY5YTNhZDkyNjVhMzExZDAwYjZiNTVhN2EiLCJ1c2VySWQiOiI0NzE5MTM2ODYifQ==</vt:lpwstr>
  </property>
  <property fmtid="{D5CDD505-2E9C-101B-9397-08002B2CF9AE}" pid="3" name="KSOProductBuildVer">
    <vt:lpwstr>2052-11.8.2.10337</vt:lpwstr>
  </property>
  <property fmtid="{D5CDD505-2E9C-101B-9397-08002B2CF9AE}" pid="4" name="ICV">
    <vt:lpwstr>A593CD65E9D443F59F4941B16E8FA815_12</vt:lpwstr>
  </property>
</Properties>
</file>