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附件9</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马莲乡履行职责事项清单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0110"/>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middleDot" w:pos="14001"/>
            </w:tabs>
            <w:ind w:leftChars="0"/>
          </w:pPr>
          <w:r>
            <w:rPr>
              <w:rFonts w:hint="eastAsia"/>
              <w:lang w:val="en-US" w:eastAsia="zh-CN"/>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_Toc1967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_Toc1967 \h </w:instrText>
          </w:r>
          <w:r>
            <w:fldChar w:fldCharType="separate"/>
          </w:r>
          <w:r>
            <w:t>1</w:t>
          </w:r>
          <w:r>
            <w:fldChar w:fldCharType="end"/>
          </w:r>
          <w:r>
            <w:rPr>
              <w:lang w:eastAsia="zh-CN"/>
            </w:rPr>
            <w:fldChar w:fldCharType="end"/>
          </w:r>
        </w:p>
        <w:p>
          <w:pPr>
            <w:pStyle w:val="7"/>
            <w:numPr>
              <w:ilvl w:val="0"/>
              <w:numId w:val="0"/>
            </w:numPr>
            <w:tabs>
              <w:tab w:val="right" w:leader="middleDot" w:pos="14001"/>
            </w:tabs>
            <w:ind w:leftChars="0"/>
          </w:pPr>
          <w:r>
            <w:rPr>
              <w:rFonts w:hint="eastAsia"/>
              <w:lang w:val="en-US" w:eastAsia="zh-CN"/>
            </w:rPr>
            <w:t>2.</w:t>
          </w:r>
          <w:r>
            <w:rPr>
              <w:lang w:eastAsia="zh-CN"/>
            </w:rPr>
            <w:fldChar w:fldCharType="begin"/>
          </w:r>
          <w:r>
            <w:rPr>
              <w:lang w:eastAsia="zh-CN"/>
            </w:rPr>
            <w:instrText xml:space="preserve"> HYPERLINK \l _Toc21935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_Toc21935 \h </w:instrText>
          </w:r>
          <w:r>
            <w:fldChar w:fldCharType="separate"/>
          </w:r>
          <w:r>
            <w:t>14</w:t>
          </w:r>
          <w:r>
            <w:fldChar w:fldCharType="end"/>
          </w:r>
          <w:r>
            <w:rPr>
              <w:lang w:eastAsia="zh-CN"/>
            </w:rPr>
            <w:fldChar w:fldCharType="end"/>
          </w:r>
        </w:p>
        <w:p>
          <w:pPr>
            <w:pStyle w:val="7"/>
            <w:numPr>
              <w:ilvl w:val="0"/>
              <w:numId w:val="0"/>
            </w:numPr>
            <w:tabs>
              <w:tab w:val="right" w:leader="middleDot" w:pos="14001"/>
            </w:tabs>
            <w:ind w:leftChars="0"/>
          </w:pPr>
          <w:r>
            <w:rPr>
              <w:rFonts w:hint="eastAsia"/>
              <w:lang w:val="en-US" w:eastAsia="zh-CN"/>
            </w:rPr>
            <w:t>3.</w:t>
          </w:r>
          <w:r>
            <w:rPr>
              <w:lang w:eastAsia="zh-CN"/>
            </w:rPr>
            <w:fldChar w:fldCharType="begin"/>
          </w:r>
          <w:r>
            <w:rPr>
              <w:lang w:eastAsia="zh-CN"/>
            </w:rPr>
            <w:instrText xml:space="preserve"> HYPERLINK \l _Toc873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_Toc873 \h </w:instrText>
          </w:r>
          <w:r>
            <w:fldChar w:fldCharType="separate"/>
          </w:r>
          <w:r>
            <w:t>44</w:t>
          </w:r>
          <w:r>
            <w:fldChar w:fldCharType="end"/>
          </w:r>
          <w:r>
            <w:rPr>
              <w:lang w:eastAsia="zh-CN"/>
            </w:rPr>
            <w:fldChar w:fldCharType="end"/>
          </w:r>
        </w:p>
        <w:p>
          <w:pPr>
            <w:rPr>
              <w:rFonts w:ascii="Arial" w:hAnsi="Arial" w:eastAsia="Arial" w:cs="Arial"/>
              <w:snapToGrid w:val="0"/>
              <w:color w:val="000000"/>
              <w:kern w:val="0"/>
              <w:sz w:val="21"/>
              <w:szCs w:val="21"/>
              <w:lang w:val="en-US" w:eastAsia="zh-CN" w:bidi="ar-SA"/>
            </w:rPr>
          </w:pPr>
          <w:r>
            <w:rPr>
              <w:lang w:eastAsia="zh-CN"/>
            </w:rPr>
            <w:fldChar w:fldCharType="end"/>
          </w:r>
        </w:p>
      </w:sdtContent>
    </w:sdt>
    <w:p>
      <w:pPr>
        <w:pStyle w:val="2"/>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967"/>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各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做好乡村干部和志愿者队伍建设和管理，建立健全网格服务管理体系，指导开展网格化服务管理工作，引导广大干部群众参与志愿服务。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指导发展农村集体经济，负责各村集体经济组织资金、资产、资源的监督管理。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推动辖区内“四园八区”特色农业产业高质量发展，促进农文旅产业融合发展，做好相关服务保障工作。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日间照料中心、食堂、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做好公益性墓地和殡葬服务工作，做好辖区内拱北（道堂）纳入一般墓葬的日常管理。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w:t>
            </w:r>
            <w:r>
              <w:rPr>
                <w:rStyle w:val="16"/>
                <w:rFonts w:hint="default" w:ascii="Times New Roman" w:hAnsi="方正公文黑体" w:eastAsia="方正公文黑体"/>
                <w:color w:val="auto"/>
                <w:lang w:val="en" w:bidi="ar"/>
              </w:rPr>
              <w:t>2</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lang w:val="en" w:bidi="ar"/>
              </w:rPr>
            </w:pPr>
            <w:r>
              <w:rPr>
                <w:rFonts w:hint="default" w:ascii="Times New Roman" w:hAnsi="方正公文仿宋" w:eastAsia="方正公文仿宋"/>
                <w:kern w:val="0"/>
                <w:szCs w:val="21"/>
                <w:lang w:val="en"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打造乡铸牢中华民族共同体意识教育示范基地，讲好团结故事、发展故事，促进各族群众增强“三个意识”“四个与共”，构建中华民族共有精神家园。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6</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6</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农产品质量安全检测和安全隐患排查整治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6</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6</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default" w:ascii="Times New Roman" w:hAnsi="方正公文仿宋" w:eastAsia="方正公文仿宋"/>
                <w:kern w:val="0"/>
                <w:szCs w:val="21"/>
                <w:lang w:val="en"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default" w:ascii="Times New Roman" w:hAnsi="方正公文仿宋" w:eastAsia="方正公文仿宋"/>
                <w:kern w:val="0"/>
                <w:szCs w:val="21"/>
                <w:lang w:val="en"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default" w:ascii="Times New Roman" w:hAnsi="方正公文仿宋" w:eastAsia="方正公文仿宋"/>
                <w:kern w:val="0"/>
                <w:szCs w:val="21"/>
                <w:lang w:val="en"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default" w:ascii="Times New Roman" w:hAnsi="方正公文仿宋" w:eastAsia="方正公文仿宋"/>
                <w:kern w:val="0"/>
                <w:szCs w:val="21"/>
                <w:lang w:val="en"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w:t>
            </w:r>
            <w:r>
              <w:rPr>
                <w:rFonts w:hint="default" w:ascii="Times New Roman" w:hAnsi="方正公文仿宋" w:eastAsia="方正公文仿宋"/>
                <w:kern w:val="0"/>
                <w:szCs w:val="21"/>
                <w:lang w:val="en"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val="e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w:t>
            </w:r>
            <w:r>
              <w:rPr>
                <w:rFonts w:hint="default" w:ascii="Times New Roman" w:hAnsi="方正公文仿宋" w:eastAsia="方正公文仿宋"/>
                <w:kern w:val="0"/>
                <w:szCs w:val="21"/>
                <w:lang w:val="en"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12</w:t>
            </w:r>
            <w:r>
              <w:rPr>
                <w:rFonts w:hint="default" w:ascii="Times New Roman" w:hAnsi="方正公文仿宋" w:eastAsia="方正公文仿宋"/>
                <w:kern w:val="0"/>
                <w:szCs w:val="21"/>
                <w:lang w:val="e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
              </w:rPr>
            </w:pPr>
            <w:r>
              <w:rPr>
                <w:rFonts w:hint="eastAsia" w:ascii="Times New Roman" w:hAnsi="方正公文仿宋" w:eastAsia="方正公文仿宋"/>
                <w:kern w:val="0"/>
                <w:szCs w:val="21"/>
                <w:lang w:bidi="ar"/>
              </w:rPr>
              <w:t>12</w:t>
            </w:r>
            <w:r>
              <w:rPr>
                <w:rFonts w:hint="default" w:ascii="Times New Roman" w:hAnsi="方正公文仿宋" w:eastAsia="方正公文仿宋"/>
                <w:kern w:val="0"/>
                <w:szCs w:val="21"/>
                <w:lang w:val="e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1935"/>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西吉县市场监管：依法查处传销违法行为，对涉嫌犯罪的予以移交，对不构成犯罪的予以处罚。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1.对镇（乡）街上报贷款信息进行系统录入；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配合林业和草原局对森林督查卫片信息进行实地核查，协助相关执法部门对违法行为整改情况进行监管，对逾期未整改到位的配合做好执法工作。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1.认真落实耕地占补平衡，科学储备补充耕地指标；依据项目用地需求，审核是否符合耕地占补平衡要求，对需要落实耕地占补平衡的，对接自然资源局落实指标，并督促落实项目占用耕地先补后占原则；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73"/>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并对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1.组织开展入河排污口排查、监测、整治工作；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2.根据事故等级，配合或会同有关部门做好事故救援、应急处置和善后处理等工作；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西吉县卫生健康局、西吉县教育体育局、西吉县交通运输局、西吉县文化和旅游局等部门：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每个羊单位五元以上三十元以下的罚款；无法确定放牧羊单位的数量的，处以一百元以上二千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8B778EF"/>
    <w:rsid w:val="251F3917"/>
    <w:rsid w:val="3643781B"/>
    <w:rsid w:val="4AF62C56"/>
    <w:rsid w:val="57F6F3EB"/>
    <w:rsid w:val="5F6379A5"/>
    <w:rsid w:val="76B121FB"/>
    <w:rsid w:val="9F8F2690"/>
    <w:rsid w:val="ADEABD55"/>
    <w:rsid w:val="B3FFD6CC"/>
    <w:rsid w:val="DFBB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82</Words>
  <Characters>85</Characters>
  <Lines>1</Lines>
  <Paragraphs>1</Paragraphs>
  <TotalTime>9</TotalTime>
  <ScaleCrop>false</ScaleCrop>
  <LinksUpToDate>false</LinksUpToDate>
  <CharactersWithSpaces>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guyuan</cp:lastModifiedBy>
  <cp:lastPrinted>2025-04-25T16:01:00Z</cp:lastPrinted>
  <dcterms:modified xsi:type="dcterms:W3CDTF">2025-04-28T08:47:57Z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35D4357A3D914810BAEC9F9A750D11FF_12</vt:lpwstr>
  </property>
</Properties>
</file>