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附件10</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偏城乡履行职责事项清单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9633"/>
        <w15:color w:val="DBDBDB"/>
        <w:docPartObj>
          <w:docPartGallery w:val="Table of Contents"/>
          <w:docPartUnique/>
        </w:docPartObj>
      </w:sdtPr>
      <w:sdtEndPr>
        <w:rPr>
          <w:rFonts w:ascii="Arial" w:hAnsi="Arial" w:eastAsia="Arial" w:cs="Arial"/>
          <w:snapToGrid w:val="0"/>
          <w:color w:val="000000"/>
          <w:kern w:val="0"/>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目</w:t>
          </w:r>
          <w:r>
            <w:rPr>
              <w:rFonts w:hint="eastAsia" w:ascii="方正公文小标宋" w:hAnsi="方正公文小标宋" w:eastAsia="方正公文小标宋" w:cs="方正公文小标宋"/>
              <w:sz w:val="44"/>
              <w:szCs w:val="44"/>
              <w:lang w:val="en-US" w:eastAsia="zh-CN"/>
            </w:rPr>
            <w:t xml:space="preserve">  </w:t>
          </w:r>
          <w:r>
            <w:rPr>
              <w:rFonts w:hint="eastAsia" w:ascii="方正公文小标宋" w:hAnsi="方正公文小标宋" w:eastAsia="方正公文小标宋" w:cs="方正公文小标宋"/>
              <w:sz w:val="44"/>
              <w:szCs w:val="44"/>
            </w:rPr>
            <w:t>录</w:t>
          </w:r>
        </w:p>
        <w:p>
          <w:pPr>
            <w:pStyle w:val="7"/>
            <w:numPr>
              <w:ilvl w:val="0"/>
              <w:numId w:val="0"/>
            </w:numPr>
            <w:tabs>
              <w:tab w:val="right" w:leader="dot" w:pos="14001"/>
            </w:tabs>
            <w:ind w:leftChars="0"/>
          </w:pPr>
          <w:r>
            <w:rPr>
              <w:rFonts w:hint="eastAsia"/>
              <w:lang w:val="en-US" w:eastAsia="zh-CN"/>
            </w:rPr>
            <w:t>1.</w:t>
          </w:r>
          <w:r>
            <w:rPr>
              <w:lang w:eastAsia="zh-CN"/>
            </w:rPr>
            <w:fldChar w:fldCharType="begin"/>
          </w:r>
          <w:r>
            <w:rPr>
              <w:lang w:eastAsia="zh-CN"/>
            </w:rPr>
            <w:instrText xml:space="preserve">TOC \o "1-1" \h \u </w:instrText>
          </w:r>
          <w:r>
            <w:rPr>
              <w:lang w:eastAsia="zh-CN"/>
            </w:rPr>
            <w:fldChar w:fldCharType="separate"/>
          </w:r>
          <w:r>
            <w:rPr>
              <w:lang w:eastAsia="zh-CN"/>
            </w:rPr>
            <w:fldChar w:fldCharType="begin"/>
          </w:r>
          <w:r>
            <w:rPr>
              <w:lang w:eastAsia="zh-CN"/>
            </w:rPr>
            <w:instrText xml:space="preserve"> HYPERLINK \l _Toc12971 </w:instrText>
          </w:r>
          <w:r>
            <w:rPr>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_Toc12971 \h </w:instrText>
          </w:r>
          <w:r>
            <w:fldChar w:fldCharType="separate"/>
          </w:r>
          <w:r>
            <w:t>1</w:t>
          </w:r>
          <w:r>
            <w:fldChar w:fldCharType="end"/>
          </w:r>
          <w:r>
            <w:rPr>
              <w:lang w:eastAsia="zh-CN"/>
            </w:rPr>
            <w:fldChar w:fldCharType="end"/>
          </w:r>
        </w:p>
        <w:p>
          <w:pPr>
            <w:pStyle w:val="7"/>
            <w:numPr>
              <w:ilvl w:val="0"/>
              <w:numId w:val="0"/>
            </w:numPr>
            <w:tabs>
              <w:tab w:val="right" w:leader="dot" w:pos="14001"/>
            </w:tabs>
            <w:ind w:leftChars="0"/>
          </w:pPr>
          <w:r>
            <w:rPr>
              <w:rFonts w:hint="eastAsia"/>
              <w:lang w:val="en-US" w:eastAsia="zh-CN"/>
            </w:rPr>
            <w:t>2.</w:t>
          </w:r>
          <w:r>
            <w:rPr>
              <w:lang w:eastAsia="zh-CN"/>
            </w:rPr>
            <w:fldChar w:fldCharType="begin"/>
          </w:r>
          <w:r>
            <w:rPr>
              <w:lang w:eastAsia="zh-CN"/>
            </w:rPr>
            <w:instrText xml:space="preserve"> HYPERLINK \l _Toc25997 </w:instrText>
          </w:r>
          <w:r>
            <w:rPr>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_Toc25997 \h </w:instrText>
          </w:r>
          <w:r>
            <w:fldChar w:fldCharType="separate"/>
          </w:r>
          <w:r>
            <w:t>14</w:t>
          </w:r>
          <w:r>
            <w:fldChar w:fldCharType="end"/>
          </w:r>
          <w:r>
            <w:rPr>
              <w:lang w:eastAsia="zh-CN"/>
            </w:rPr>
            <w:fldChar w:fldCharType="end"/>
          </w:r>
        </w:p>
        <w:p>
          <w:pPr>
            <w:pStyle w:val="7"/>
            <w:numPr>
              <w:ilvl w:val="0"/>
              <w:numId w:val="0"/>
            </w:numPr>
            <w:tabs>
              <w:tab w:val="right" w:leader="dot" w:pos="14001"/>
            </w:tabs>
            <w:ind w:leftChars="0"/>
          </w:pPr>
          <w:r>
            <w:rPr>
              <w:rFonts w:hint="eastAsia"/>
              <w:lang w:val="en-US" w:eastAsia="zh-CN"/>
            </w:rPr>
            <w:t>3.</w:t>
          </w:r>
          <w:r>
            <w:rPr>
              <w:lang w:eastAsia="zh-CN"/>
            </w:rPr>
            <w:fldChar w:fldCharType="begin"/>
          </w:r>
          <w:r>
            <w:rPr>
              <w:lang w:eastAsia="zh-CN"/>
            </w:rPr>
            <w:instrText xml:space="preserve"> HYPERLINK \l _Toc916 </w:instrText>
          </w:r>
          <w:r>
            <w:rPr>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_Toc916 \h </w:instrText>
          </w:r>
          <w:r>
            <w:fldChar w:fldCharType="separate"/>
          </w:r>
          <w:r>
            <w:t>44</w:t>
          </w:r>
          <w:r>
            <w:fldChar w:fldCharType="end"/>
          </w:r>
          <w:r>
            <w:rPr>
              <w:lang w:eastAsia="zh-CN"/>
            </w:rPr>
            <w:fldChar w:fldCharType="end"/>
          </w:r>
        </w:p>
        <w:p>
          <w:pPr>
            <w:rPr>
              <w:rFonts w:ascii="Arial" w:hAnsi="Arial" w:eastAsia="Arial" w:cs="Arial"/>
              <w:snapToGrid w:val="0"/>
              <w:color w:val="000000"/>
              <w:kern w:val="0"/>
              <w:sz w:val="21"/>
              <w:szCs w:val="21"/>
              <w:lang w:val="en-US" w:eastAsia="zh-CN" w:bidi="ar-SA"/>
            </w:rPr>
          </w:pPr>
          <w:r>
            <w:rPr>
              <w:lang w:eastAsia="zh-CN"/>
            </w:rPr>
            <w:fldChar w:fldCharType="end"/>
          </w:r>
        </w:p>
      </w:sdtContent>
    </w:sdt>
    <w:p>
      <w:pPr>
        <w:pStyle w:val="2"/>
        <w:rPr>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2971"/>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做好工作者和志愿者队伍建设和管理，建立健全网格服务管理体系，指导开展网格化服务管理工作，引导广大干部群众参与志愿服务。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指导发展农村集体经济，负责各村集体经济组织资金、资产、资源的监督管理。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负责养老服务补贴、护理补贴、高龄津贴申请受理、审核及上报工作，建立好独居、空巢、失能、重残特殊家庭老年人台账，指导各村做好老年饭桌、适老化改造、探访关爱服务等保障老年人权益工作。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创建香菇种植加工示范乡。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创建肉羊养殖示范乡。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创建基础母牛养殖繁育基地示范乡。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2599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2.指导发挥网格员作用，对建筑管理单位或者村民委员会发现上报的违规行为进行劝阻、制止，责令改正；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2.配合上级主管部门做好房屋等级鉴定，建立完善隐患台账。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3.针对存在安全隐患的房屋，引导产权人（使用人）及时采取管控措施和工程措施，消除安全隐患。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4.对符合政策的，争取实施农房改造工程。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5.对农村自建房督查检查，发现安全隐患的房屋及时督促落实整改；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2.联合西吉县住房和城乡建设局、西吉县公安局、乡镇及社区工作人员对小区内搭建灵棚治丧投诉进行治理；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1.依法履行学校周边治理和学校安全的监督与管理职责；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2.履行安全教育职责。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2.协调教育、公安、消防、卫生等共同做好学校安全改正；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1.组织协调开放行业部门管理的应急避难场所；2.及时协调调度应急物资保障临时安置群众生活所需；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1.根据乡镇上报的房屋安全排查情况，组织第三方检测机构开展鉴定，并将鉴定结果及时反馈相关部门和乡镇；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3.配合上级住建、市场监管部门做好政策宣传和群众思想工作。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3.配合农业农村局落实“农作物重大病虫害防控”等防治项目，组织农户参与防治工作。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西吉县农业农村局、西吉县市场监督管理局、西吉县委统战部、西吉县住房和城乡建设局、西吉县卫生健康局、西吉县工业和信息化局、西吉县商务和投资促进局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西吉县卫生健康局、西吉县工业信息化、西吉县商务和投资促进局等部门，依照各自的工作职责，做好食用农产品食品监督管理工作。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1.对乡(镇）街上报贷款信息进行系统录入；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1、依法对存在重大事故隐患的生产经营单位作出停产停业、停止施工、停止使用相关设施或者设备的决定，生产经营单位应当依法执行，及时消除事故隐患。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2、按照职责对存在重大事故隐患的生产经营单位加强监督检查。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1.指导应急预案体系建设，建立完善事故灾难、自然灾害分级应对和灾情统计制度。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西吉县应急管理局、西吉县工业信息化、西吉县商务和投资促进局、西吉县市场监督管理局、西吉县住房和城乡建设局、西吉县消防救援大队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西吉县工业信息化局、西吉县商务和投资促进局：负责工贸企业、小生产加工企业、小作坊等生产经营单位安全生产的监督管理，对安全生产隐患和违法行为进行查处。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1.收到上级卫片图斑信息后，对卫片图斑进行对比甄别、实地查看、系统核实定，判定是否违法。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1.认真落实耕地占补平衡，科学储备补充耕地指标；依据项目用地需求，审核是否符合耕地占补平衡要求，对需要落实耕地占补平衡的，对接自然资源局落实指标，并督促落实项目占用耕地先补后占原则；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1.对古树名木进行确定、登记、挂牌，发布古树名录。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2.组织专业技术力量对濒危古树名木开展抢救复壮。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916"/>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西吉县水务局、西吉县林业和草原局：依照法律法规要求，按照职责权限对在水土流失重点预防区和重点治理区铲草皮、挖树兜等行为进行处罚。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西吉县自然资源局：按照管理权限对非法占用土地的行为核实后进行处罚。                                                              西吉县农业农村局:按照管理权限对非法占用耕地建住宅的行为进行查处。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固原市生态环境局西吉分局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对违反规定的，责令停止违法行为，限期改正，给予警告，并处罚款。执法人员不得少于两人，调查时应当出示执法证件，允许当事人辩解陈述，执法人员应当保守有关秘密。2.在定期开展检查并对检查中发现或者接到举报相关违法活动行为审查立案的，指定专人负责，与当事人有直接利害关系的应当回避。3.在做出行政处罚决定前，应书面告知当事人违法事实及其享有的陈述、申辩、要求听证等权利。4.根据审理情况决定是否行政处罚。依法需要给予行政处罚的，应制作行政处罚决定书，载明违法事实和证据、处罚依据和内容、申请行政复议或提起行政诉讼的途径和期限等内容。5.行政处罚决定书应当按规定的时间内送达当事人。6.监督当事人在决定的期限内，履行生效的行政处罚决定。当事人在法定期限内不申请行政复议或者提起行政诉讼，又不履行的，可依法采取申请人民法院强制执行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生态环境部门：对随意倾倒、抛洒、堆放生活垃圾造成的环境污染问题进行监督管理。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除责令其恢复原状外，可以并处罚款。2.盗窃、损坏各类环境卫生设施及其附属设施，应当给予治安管理处罚的，依照《中华人民共和国治安管理处罚法》的规定处罚。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由西吉县水务局委托第三方水投公司组织征收；收缴资金纳入财政专户管理，并对水费收缴和水价进行监管。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1.进行账号维护。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2.负责燃煤锅炉关停整合和超低排放改造和工业窑炉清洁能源替代，改造过程的监督管理；3.负责燃煤锅炉、工业窑炉达标排放污染物的额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实施燃煤锅炉超低排放改造；2.深化工业炉窑综合治理，依法依规关闭热效率底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负责接到特种设备事故报告后尽快核实并向本级人民政府和上级市场监督管理部门报告；2.根据事故等级，配合或会同有关部门做好事故救援、应急处置和善后处理等工作；3.对于一般特种设备事故无人员死亡，并且事故原因清晰、无重大社会影响的，可受市级市场监督管理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按照职责分工，负责制定年度特种设备安全常规监督检查与证后监督检查计划，明确检查的对象、时间、程序、标准等内容，开展对特种设备生产、经营、使用单位和检验检测机构的监督检查；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西吉县农业农村局：1.开展病死动物无害化处理宣传；2.对病死动物进行无害化处理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1.开展禁烟宣传；2.按照各自职责对公共场所吸烟行为进行管理；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做好地质灾害的监测与预警；2.定期开展地质灾害隐患点的排查，并进行危险性分析；3.编制县级区域地质灾害防治方案以及应急预案，明确各部门职责和响应流程；4.监督建设单位进行地质灾害防治责任，落实防灾措施；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西吉县自然资源局和西吉县农业农村局：按照职责权限责令其限期整改或者治理，可以并处罚款；构成犯罪的，依法追究刑事责任。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西吉县林业和草原局：1.根据实际需要建设护林设施，加强森林资源保护；2.划定护林责任区、配备专职或者兼职护林员；3.按照权限和程序做好采伐许可证的核发；4.依法查处破坏森林资源等违法行为。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每个羊单位五元以上三十元以下的罚款；无法确定放牧羊单位的数量的，处以一百元以上二千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砂矿安全管理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制定本地区砂矿资源的总体规划；2.严格审查和发放砂矿采矿许可证；3.定期检查砂矿企业是否按照采矿许可证规定的范围进行开采；4.监督砂矿开采过程中的资源利用效率，要求企业采用合理的开采工艺，减少资源浪费；5.评估砂矿开采对周边土地、水体、植被等生态环境的影响，监督砂矿企业做好矿区土地复垦和生态修复工作；制定土地复垦计划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西吉县应急管理局：1. 制定砂矿安全生产检查计划，定期组织专业人员对砂矿进行全面的安全检查；2. 组织专业机构对砂矿进行安全风险评估；3. 指导砂矿企业制定完善的生产安全事故应急预案； 定期组织砂矿企业开展应急演练，建立应急救援物资储备体系。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辖区沙场管理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制定河道采砂规划和年度计划，颁发采砂许可证；2.对沙场采砂作业进行日常监督检查；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自然资源局：1.对沙场的矿产资源开采进行监管，确保其依法依规开采；2.参与沙场的规划和选址工作，审查其是否符合土地利用总体规划和矿产资源规划等要求，对符合条件的给予相应审批和许可。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环保局：1.监督沙场的生产经营活动是否符合环境保护要求；2.评估沙场开采对周边生态环境的影响。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应急管理局：1.对沙场的安全生产工作进行监督管理；2.指导沙场制定应急预案，配备应急救援设备和物资，提高应对突发事件的能力。</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公文黑体">
    <w:altName w:val="方正黑体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92959CA"/>
    <w:rsid w:val="0AEE6ECB"/>
    <w:rsid w:val="14067033"/>
    <w:rsid w:val="1B1744EA"/>
    <w:rsid w:val="1FE63774"/>
    <w:rsid w:val="281C0DF1"/>
    <w:rsid w:val="325A0377"/>
    <w:rsid w:val="39E430C3"/>
    <w:rsid w:val="3F7B0026"/>
    <w:rsid w:val="439E0787"/>
    <w:rsid w:val="665E7D2B"/>
    <w:rsid w:val="70FC0717"/>
    <w:rsid w:val="F3FA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82</Words>
  <Characters>86</Characters>
  <Lines>1</Lines>
  <Paragraphs>1</Paragraphs>
  <TotalTime>5</TotalTime>
  <ScaleCrop>false</ScaleCrop>
  <LinksUpToDate>false</LinksUpToDate>
  <CharactersWithSpaces>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2025-04-25T08:03:00Z</cp:lastPrinted>
  <dcterms:modified xsi:type="dcterms:W3CDTF">2025-04-28T08:49:13Z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8AB4095CC0E748D5B3653488F1B744E1_13</vt:lpwstr>
  </property>
  <property fmtid="{D5CDD505-2E9C-101B-9397-08002B2CF9AE}" pid="4" name="KSOTemplateDocerSaveRecord">
    <vt:lpwstr>eyJoZGlkIjoiZWViMjE1NWY5YTNhZDkyNjVhMzExZDAwYjZiNTVhN2EiLCJ1c2VySWQiOiI0NzE5MTM2ODYifQ==</vt:lpwstr>
  </property>
</Properties>
</file>