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1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1919"/>
        <w:gridCol w:w="1921"/>
        <w:gridCol w:w="1976"/>
        <w:gridCol w:w="1225"/>
        <w:gridCol w:w="1162"/>
        <w:gridCol w:w="3690"/>
        <w:gridCol w:w="617"/>
        <w:gridCol w:w="795"/>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4512"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bookmarkStart w:id="0" w:name="_GoBack"/>
            <w:bookmarkEnd w:id="0"/>
            <w:r>
              <w:rPr>
                <w:rFonts w:hint="eastAsia" w:ascii="方正小标宋简体" w:hAnsi="方正小标宋简体" w:eastAsia="方正小标宋简体" w:cs="方正小标宋简体"/>
                <w:i w:val="0"/>
                <w:color w:val="000000"/>
                <w:kern w:val="0"/>
                <w:sz w:val="40"/>
                <w:szCs w:val="40"/>
                <w:u w:val="none"/>
                <w:lang w:val="en-US" w:eastAsia="zh-CN" w:bidi="ar"/>
              </w:rPr>
              <w:t>西吉县公安局2026年度涉企行政执法检查计划表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9"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检查事项名称</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检查对象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检查周期</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检查比例</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同一企业检查频次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 xml:space="preserve">检查依据                                   </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检查方式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可联合检查部门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8"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对一般企事业单位内部治安保卫情况的行政检查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企事业单位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《企业事业单位内部治安保卫条例》第六条单位应当根据内部治安保卫工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作需要，设置治安保卫机构或者配备专职、兼职治安保卫人员。治安保卫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重点单位应当设置与治安保卫任务相适应的治安保卫机构，配备专职治安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保卫人员，并将治安保卫机构的设置和人员的配备情况报主管公安机关备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案。</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对治安保卫重点单位内部治安保卫情况的行政检查（通用）</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中小学幼儿园、医疗机构、油气田及输油气管道企业、电力电信广播电视企业</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《企业事业单位内部治安保卫条例》第六条单位应当根据内部治安保卫工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作需要，设置治安保卫机构或者配备专职、兼职治安保卫人员。治安保卫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重点单位应当设置与治安保卫任务相适应的治安保卫机构，配备专职治安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保卫人员，并将治安保卫机构的设置和人员的配备情况报主管公安机关备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案。</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对旅馆业（含民宿）治安管理情况的行政检查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旅馆业（含民宿）经营单位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《旅馆业治安管理办法》第三、四、五、六、八、十四、二十五、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《中华人民共和国未成年人保护法》第五十七条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对公章刻制业治安管理情况的行政检查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公章刻制业经营单位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《国务院关于修改和废止部分行政法规的决定》（2024 年国务院令第 797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《国务院关于国家行政机关和企业事业单位社会团体印章管理的规定》（国发〔 1 9 9 9 〕 2 5 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对娱乐场所治安管理情况的行政检查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娱乐场所</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《娱乐场所管理条例》第十一、十二、十五、十六、1十九、二十五、二十六、三十、四十六条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对保安服务公司及其服务活动情况的行政检查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保安服务公司</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《公安机关实施保安服务管理条例办法》第三十七、三十八、四十二条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《公安机关实施保安服务管理条例办法》第二十七条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对自行招录保安员单位的行政检查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培训从业单位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《公安机关实施保安服务管理条例办法》三十八、四十二条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《保安服务管理条例》第四十二条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对保安培训单位的行政检查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保安培训单位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《保安服务管理条例》第三十二、四十七条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《财政部、国家发展改革委关于公安部门收取保安员资格考试费的通知》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（财综〔2011〕60 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对典当业治安管理情况的行政检查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典当行</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《典当管理办法》第十条、二十七条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《治安管理处罚法》第五十九条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9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对废旧金属收购业治安管理情况的行政检查</w:t>
            </w:r>
          </w:p>
        </w:tc>
        <w:tc>
          <w:tcPr>
            <w:tcW w:w="19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废旧金属收购业经营单位</w:t>
            </w:r>
          </w:p>
        </w:tc>
        <w:tc>
          <w:tcPr>
            <w:tcW w:w="19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《再生资源回收管理办法》第七条、第十一条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《治安管理处罚法》第五十九条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2" w:hRule="atLeast"/>
        </w:trPr>
        <w:tc>
          <w:tcPr>
            <w:tcW w:w="4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对剧毒化购买单位治安管理情况的行政检查</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剧毒化学品购买单位</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每季度1次</w:t>
            </w:r>
          </w:p>
        </w:tc>
        <w:tc>
          <w:tcPr>
            <w:tcW w:w="12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等于4次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《危险化学品安全管理条例》第八十一条 第（一）项 有下列情形之一的，由公安机关责令改正，可以处 1 万元以下的罚款；拒不改正的，处 1 万元以上 5 万元以下的罚款: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《危险化学品安全管理条例》第九十三条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 </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3"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91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对易制爆危险化学品从业单位治安管理情况的行政检查</w:t>
            </w:r>
          </w:p>
        </w:tc>
        <w:tc>
          <w:tcPr>
            <w:tcW w:w="192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易制爆危险化学品从业单位</w:t>
            </w:r>
          </w:p>
        </w:tc>
        <w:tc>
          <w:tcPr>
            <w:tcW w:w="197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每季度1次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等于4次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《危险化学品安全管理条例》第八十一条 第（五）项 有下列情形之一的，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由公安机关责令改正，可以处 1 万元以下的罚款；拒不改正的，处 1 万元以上 5 万元以下的罚款: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《危险化学品安全管理条例》第九十三条 伪造、变造或者出租、出借、转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让危险化学品安全生产许可证、工业产品生产许可证，或者使用伪造、变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造的危险化学品安全生产许可证、工业产品生产许可证的，分别依照《安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全生产许可证条例》、《中华人民共和国工业产品生产许可证管理条例》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的规定处罚。</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2"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对民用爆炸物品购买企业治安管理情况的行政检查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民用爆炸物品购买企业</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每季度1次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等于4次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《民用爆炸物品安全管理条例》第四十四条 第（四）项 违反本条例规定，未经许可购买、运输民用爆炸物品或者从事爆破作业的，由公安机关责令停止非法购买、运输、爆破作业活动，处 5 万元以上 20 万元以下的罚款，并没收非法购买、运输以及从事爆破作业使用的民用爆炸物品及其违法所得。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《民用爆炸物品安全管理条例》第五十条  违反本条例规定，民用爆炸物品从业单位有下列情形之一的，由公安机关处 2 万元以上 10 万元以下的罚款；情节严重的，吊销其许可证；有违反治安管理行为的，依法给予治安管理处罚：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（一）违反安全管理制度，致使民用爆炸物品丢失、被盗、被抢的；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（二）民用爆炸物品丢失、被盗、被抢，未按照规定向当地公安机关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报告或者故意隐瞒不报的；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（三）转让、出借、转借、抵押、赠送民用爆炸物品的。</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对爆破作业单位治安管理情况的行政检查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爆破作业单位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每季度1次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等于4次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《民用爆炸物品安全管理条例》第四十九条第一项、第三项、第四项、第五项、第七项</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对民用枪支配售单位治安管理情况的行政检查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民用枪支配售单位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每季度1次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等于4次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《枪支管理法》第十六条、二十三条、二十四条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对驽制造、购置单位治安管理情况的行政检查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弩制造、销售、购置、进口、运输单位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《公安部、国家工商行政管理局关于加强弩管理的通知》</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对大型群众性活动安全的行政检查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大型群众性活动</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结合实际按需开展</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《大型群众性活动安全管理条例》第二十条、《大型群众性活动安全管理条例》第二十一条 </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对公务用枪配置单位的行政检查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公务用枪配置单位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每季度1次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等于4次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《枪支管理法》第二十三条、第二十四条、第二十五条、第二十七条、第二十八条、第三十条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对焰火晚会及其他大型焰火燃放活动的行政检查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举办焰火晚会及其他大型焰火燃放活动</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结合实际按需开展</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《烟花爆竹安全管理条例》第四十二条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对大型焰火燃放作业单位的行政检查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大型焰火燃放作业单位</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重要节点按需开展</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《烟花爆竹安全管理条例》（2016 年国务院令第 666 号修订）</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对金融机构营业场所及金库安全防范设施建设方案、工程验收的行政检查和安全评估工作</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金融机构营业场所及金库</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《金融机构营业场所和金库安全防范设施建设许可实施办法》第十四条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营业性射击场的行政检查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营业性射击场</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每季度1次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等于4次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《中华人民共和国枪支管理法》（2015 年修正）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对公共场所安装视频图像采集设备及相关设施的单位是否在公安机关备案、是否采取规范管理措施进行检查。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企事业单位、个人</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《公共安全视频图像信息系统管理条例》  第二十四条 公安机关对公共安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全视频系统的建设、使用情况实施监督检查，有关单位或者个人应当予以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协助、配合。</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对防范恐怖袭击重点目标的管理、运营单位落实反恐措施情况的行政检查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重点目标、电力系统三级重点目标、石油天然气管道企业三级重点目标、城市供水二级重点目标、危险化学品企业二级重点目标、核技术利用单位二级重点目标、军工企业二级重点目标、铁路系统一、二级重点目标、城镇燃气二级重点目标、生物安全一级重点目标</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《中华人民共和国反恐怖主义法》第三十六条 公安机关和有关部门应当掌握重点目标的基础信息和重要动态，指导、监督重点目标的管理单位履行防范恐怖</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袭击的各项职责。公安机关、中国人民武装警察部队应当依照有关规定对重点目标进行警戒、巡逻、检查。</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第三十二条 重点目标的管理单位应当履行下列职责：</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（一）制定防范和应对处置恐怖活动的预案、措施，定期进行培训和演练；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（二）建立反恐怖主义工作专项经费保障制度，配备、更新防范和处置设备、设施；</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（三）指定相关机构或者落实责任人员，明确岗位职责；</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（四）实行风险评估，实时监测安全威胁，完善内部安全管理；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（五）定期向公安机关和有关部门报告防范措施落实情况。</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3"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对管制刀具生产、销售单位治安管理情况的行政检查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1"/>
                <w:szCs w:val="21"/>
                <w:u w:val="none"/>
              </w:rPr>
            </w:pPr>
            <w:r>
              <w:rPr>
                <w:rFonts w:hint="eastAsia" w:ascii="方正书宋_GBK" w:hAnsi="方正书宋_GBK" w:eastAsia="方正书宋_GBK" w:cs="方正书宋_GBK"/>
                <w:i w:val="0"/>
                <w:color w:val="000000"/>
                <w:kern w:val="0"/>
                <w:sz w:val="21"/>
                <w:szCs w:val="21"/>
                <w:u w:val="none"/>
                <w:lang w:val="en-US" w:eastAsia="zh-CN" w:bidi="ar"/>
              </w:rPr>
              <w:t>管制刀具从业单位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3"/>
                <w:szCs w:val="13"/>
                <w:u w:val="none"/>
                <w:lang w:val="en-US" w:eastAsia="zh-CN" w:bidi="ar"/>
              </w:rPr>
              <w:t>一、《公安部对部分刀具实行管制的暂行规定》（【83】公发（治）31号）第六条：经销管制刀具须经主管部门同意与公安机关批准，建立购销登记制度，备公安机关检查。                                         第十三条：非法制造、销售管制刀具予以取缔、没收刀具并依法处罚。                                                                                                                                            二、《管制刀具分类与安全要求（GA 1332016）》明确管制刀具的规格参数，是检查中认定的关键技术依据。                                                                                                      三、《公安部关于切实加强管制刀具管理工作的通知（公通字[2008]23号)》销售单位检查：是否有独立固定场所，封闭式柜台销售，销售过程视频监控。建立《管制刀具购销情况登记表》，备公安机关查验；查验购买人身份证并登记姓名、证件号、时间、种类、数量、编号等。</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2"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对印刷业治安管理情况的行政检查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印刷行业场所</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3"/>
                <w:szCs w:val="13"/>
                <w:u w:val="none"/>
                <w:lang w:val="en-US" w:eastAsia="zh-CN" w:bidi="ar"/>
              </w:rPr>
              <w:t>《印刷业管理条例》第三条印刷业经营者必须遵守有关法律、法规和规章，讲求社会效益。禁止印刷含有反动、淫秽、迷信内容和国家明令禁止印刷的其他内容的出版物、包装装潢印刷品和其他印刷品。第四条　国务院出版行政部门主管全国的印刷业监督管理工作。县级以上地方各级人民政府负责出版管理的行政部门(以下简称出版行政部门)负责本行政区域内的印刷业监督管理工作。县级以上各级人民政府公安部门、工商行政管理部门及其他有关部门在各自的职责范围内，负责有关的印刷业监督管理工作。 第五条　印刷业经营者应当建立、健全承印验证制度、承印登记制度、印刷品保管制度、印刷品交付制度、印刷活动残次品销制度等。具体办法由国务院出版行政部门制定。印刷业经营者在印刷经营活动中发现违法犯罪行为，应当及时向公安部门或者出版行政部门报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对射钉器（弹）制造、销售、经营单位治安管理情况的行政检查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销售射钉器企业</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3"/>
                <w:szCs w:val="13"/>
                <w:u w:val="none"/>
                <w:lang w:val="en-US" w:eastAsia="zh-CN" w:bidi="ar"/>
              </w:rPr>
              <w:t>一、《公安部关于推广应用射钉器射钉弹流向登记信息化管理的通知》（公治安明发［2025］220号）：                                                                                                                          1.登记备案。射钉器射钉弹制造、销售企业按照两个标准中“规范性附录”的要求，自行选择通过民枪网站或微信小程序登记备案企业名称、法人代表、注册地址、营业执照等基本信息。制造企业应同时登记备案本企业生产的射钉器射钉弹品种型号等信息。                                                                                                                                                               2.标记编号。各地要指导推动射钉器射钉弹制造企业生产时按照两个标准要求进行产品标记编号，并实施产品追溯码源头赋码。通过微信小程序扫码可获取产品溯源信息，包括制造企业、产品名称、品种型号、制造年月、产品编号、产品流向等。自建系统的地方和企业可自行生成产品编号和追溯码，产品编号应符合两个标准要求，追溯码应包含上述溯源信息。</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3.销售登记。射钉器射钉弹制造、销售企业销售时，可通过微信小程序扫描追溯码采集射钉器射钉弹溯源信息及数量，拍照采集购买企业（含经办人）或购买人员身份信息，完成流向登记。企业也可登录民枪网站录入上述流向登记信息。4.购买入库。射钉器射钉弹制造、销售企业购买射钉器射钉弹后，可通过微信小程序扫描追溯码采集射钉器射钉弹产品编号、品种型号、数量等信息，完成购买入库登记。企业也可通过民枪网站录入上述购买入库信息。5.使用登记。射钉器射钉弹使用人可通过微信小程序录入使用人身份信息、射钉器领取使用情况、射钉弹日常消耗数量等信息（详见附件5）。                                               二、《射钉器公共安全要求》（GA1524—2018）、《射钉弹公共安全要求》(GA1525-2018)：规范产品安全标准，作为检查产品合规性的技术依据。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7"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对易制毒化学品购买情况的行政检查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易制毒化学品购买单位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每半年1次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《易制毒化学品管理条例》第十五条、第十七条、第四十一条。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《易制毒化学品购销和运输管理办法》第三十一条、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2"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对互联网国际联网备案情况的行政检查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互联网使用单位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1"/>
                <w:szCs w:val="21"/>
                <w:u w:val="none"/>
                <w:lang w:val="en-US" w:eastAsia="zh-CN" w:bidi="ar"/>
              </w:rPr>
              <w:t>《计算机信息网络国际联网安全保护管理办法》第十一条 用户在接入单位办理入网手续时，应当填写用户备案表。备案表由公安部监制。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《互联网安全保护技术措施规定》第十一条 提供互联网上网服务的单位，除落实本规定第七条规定的互联网安全保护技术措施外，还应当安装并运行互联网公共上网服务场所安全管理系统。</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2"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对生成式人工智能服务管理情况的行政检查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生成式人工智能服务提供者</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《生成式人工智能服务管理暂行办法》第十六条网信、发展改革、教育、科技、工业和信息化、公安、广播电视、新闻出版等部门，依据搁置职责依法加强对生成式人工智能服务的管理。                                                                                           第二十一条 提供者违反本办法规定的，由有关主管部门依照《中华人民共和国网络安全法》、《中华人民共和国数据安全法》、《中华人民共和国个人信息保护法》、《中华人民共和国科学技术进步法》等法律行政法规的规定予以处罚；法律、行政法规没有规定的，由有关主管部门依据职责予以警告、通报批评，责令限期改正；拒不改正或者情节严重的，责令暂停提供相关服务。构成违反治安管理行为的，依法给予治安管理处罚；构成犯罪的，依法追究刑事责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对互联网上网服务营业场所信息网络安全的行政检查</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互联网上网服务营业场所</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《互联网上网服务营业场所管理条例》第八条、第十六条、第二十三条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《互联网上网服务营业场所管理条例》第三十三条第（二）项</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对网络安全等级保护备案情况的行政检查（含关键信息基础设施安全保护情况）</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网络运营者</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每年1次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等于1次</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《中华人民共和国网络安全法》第二十一条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《计算机信息网络国际联网安全保护管理办法》第十条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22"/>
          <w:szCs w:val="2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D346E"/>
    <w:rsid w:val="2FE8A17D"/>
    <w:rsid w:val="2FEF337E"/>
    <w:rsid w:val="39FFFDB5"/>
    <w:rsid w:val="3DDB8D1C"/>
    <w:rsid w:val="3FBB5DD7"/>
    <w:rsid w:val="47FFA316"/>
    <w:rsid w:val="4BDF73EE"/>
    <w:rsid w:val="580F6BCF"/>
    <w:rsid w:val="5D825D82"/>
    <w:rsid w:val="6EBE104E"/>
    <w:rsid w:val="77E61578"/>
    <w:rsid w:val="7D0F61E5"/>
    <w:rsid w:val="ADE7AE58"/>
    <w:rsid w:val="AEFED2CB"/>
    <w:rsid w:val="AF5E2F42"/>
    <w:rsid w:val="B1DB77F9"/>
    <w:rsid w:val="B5DFD8A2"/>
    <w:rsid w:val="BEB264EA"/>
    <w:rsid w:val="D2FEDD76"/>
    <w:rsid w:val="DBFFD159"/>
    <w:rsid w:val="DE9315AD"/>
    <w:rsid w:val="E76DE2B7"/>
    <w:rsid w:val="E7F0C4D0"/>
    <w:rsid w:val="EF2FC034"/>
    <w:rsid w:val="F4E5BD7B"/>
    <w:rsid w:val="F53FB2C6"/>
    <w:rsid w:val="F5EE735B"/>
    <w:rsid w:val="F9DF8AFB"/>
    <w:rsid w:val="FBE3E7C0"/>
    <w:rsid w:val="FDEEC958"/>
    <w:rsid w:val="FF7D189A"/>
    <w:rsid w:val="FF975309"/>
    <w:rsid w:val="FFFF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5536</Words>
  <Characters>5705</Characters>
  <Lines>0</Lines>
  <Paragraphs>0</Paragraphs>
  <TotalTime>56</TotalTime>
  <ScaleCrop>false</ScaleCrop>
  <LinksUpToDate>false</LinksUpToDate>
  <CharactersWithSpaces>6543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2025-11-13T17:08:00Z</dcterms:created>
  <dc:creator>admin</dc:creator>
  <cp:lastModifiedBy>xjga</cp:lastModifiedBy>
  <cp:lastPrinted>2026-02-02T18:45:00Z</cp:lastPrinted>
  <dcterms:modified xsi:type="dcterms:W3CDTF">2026-02-04T11:22:08Z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eyJoZGlkIjoiZWRkMTljMjdlNWE4Zjk0ODFiMjVhZGUyOTBjZTVkNzgiLCJ1c2VySWQiOiIxMTcyNDc0NzAyIn0=</vt:lpwstr>
  </property>
  <property fmtid="{D5CDD505-2E9C-101B-9397-08002B2CF9AE}" pid="4" name="ICV">
    <vt:lpwstr>25160B6B3A21437F90D624AD4BB7F2D0</vt:lpwstr>
  </property>
</Properties>
</file>