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黑体" w:eastAsia="方正小标宋简体" w:cs="黑体"/>
          <w:bCs/>
          <w:sz w:val="44"/>
          <w:szCs w:val="44"/>
          <w:lang w:eastAsia="zh-CN"/>
        </w:rPr>
      </w:pPr>
      <w:r>
        <w:rPr>
          <w:rFonts w:hint="eastAsia" w:ascii="方正小标宋简体" w:hAnsi="方正小标宋简体" w:eastAsia="方正小标宋简体" w:cs="方正小标宋简体"/>
          <w:bCs/>
          <w:sz w:val="44"/>
          <w:szCs w:val="44"/>
          <w:lang w:eastAsia="zh-CN"/>
        </w:rPr>
        <w:t>西吉县</w:t>
      </w:r>
      <w:r>
        <w:rPr>
          <w:rFonts w:hint="eastAsia" w:ascii="方正小标宋简体" w:hAnsi="方正小标宋简体" w:eastAsia="方正小标宋简体" w:cs="方正小标宋简体"/>
          <w:bCs/>
          <w:sz w:val="44"/>
          <w:szCs w:val="44"/>
        </w:rPr>
        <w:t>乡镇赋权清单</w:t>
      </w:r>
    </w:p>
    <w:p>
      <w:pPr>
        <w:spacing w:before="312" w:beforeLines="100" w:after="312" w:afterLines="100"/>
        <w:jc w:val="center"/>
        <w:rPr>
          <w:rFonts w:hint="eastAsia"/>
        </w:rPr>
      </w:pPr>
      <w:r>
        <w:rPr>
          <w:rFonts w:hint="eastAsia" w:ascii="黑体" w:hAnsi="黑体" w:eastAsia="黑体" w:cs="Times New Roman"/>
          <w:color w:val="000000"/>
          <w:sz w:val="32"/>
          <w:szCs w:val="32"/>
        </w:rPr>
        <w:t>一、行政处罚（43项）</w:t>
      </w:r>
    </w:p>
    <w:tbl>
      <w:tblPr>
        <w:tblStyle w:val="15"/>
        <w:tblW w:w="15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414"/>
        <w:gridCol w:w="8490"/>
        <w:gridCol w:w="1095"/>
        <w:gridCol w:w="2001"/>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blHeader/>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sz w:val="20"/>
                <w:szCs w:val="20"/>
              </w:rPr>
              <w:t>序号</w:t>
            </w:r>
          </w:p>
        </w:tc>
        <w:tc>
          <w:tcPr>
            <w:tcW w:w="24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sz w:val="20"/>
                <w:szCs w:val="20"/>
              </w:rPr>
              <w:t>职权名称</w:t>
            </w:r>
          </w:p>
        </w:tc>
        <w:tc>
          <w:tcPr>
            <w:tcW w:w="84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sz w:val="20"/>
                <w:szCs w:val="20"/>
              </w:rPr>
              <w:t>设定依据</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sz w:val="20"/>
                <w:szCs w:val="20"/>
              </w:rPr>
              <w:t>原行使层级及部门</w:t>
            </w:r>
          </w:p>
        </w:tc>
        <w:tc>
          <w:tcPr>
            <w:tcW w:w="20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pacing w:val="0"/>
                <w:sz w:val="20"/>
                <w:szCs w:val="20"/>
                <w:lang w:eastAsia="zh-CN"/>
              </w:rPr>
            </w:pPr>
            <w:r>
              <w:rPr>
                <w:rFonts w:hint="eastAsia" w:ascii="方正黑体简体" w:hAnsi="方正黑体简体" w:eastAsia="方正黑体简体" w:cs="方正黑体简体"/>
                <w:bCs/>
                <w:spacing w:val="0"/>
                <w:sz w:val="20"/>
                <w:szCs w:val="20"/>
                <w:lang w:eastAsia="zh-CN"/>
              </w:rPr>
              <w:t>承接乡镇</w:t>
            </w:r>
          </w:p>
        </w:tc>
        <w:tc>
          <w:tcPr>
            <w:tcW w:w="4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黑体简体" w:hAnsi="方正黑体简体" w:eastAsia="方正黑体简体" w:cs="方正黑体简体"/>
                <w:bCs/>
                <w:spacing w:val="0"/>
                <w:sz w:val="20"/>
                <w:szCs w:val="20"/>
              </w:rPr>
            </w:pPr>
            <w:r>
              <w:rPr>
                <w:rFonts w:hint="eastAsia" w:ascii="方正黑体简体" w:hAnsi="方正黑体简体" w:eastAsia="方正黑体简体" w:cs="方正黑体简体"/>
                <w:bCs/>
                <w:spacing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对围湖造地或者未经批准围垦河道阻碍行洪等行为的处罚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【法律】《中华人民共和国水法》（2016年7月中华人民共和国主席令第48号第二次修正）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【法律】《中华人民共和国防洪法》（2016年7月中华人民共和国主席令第48号第三次修正） </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第十五条第一款 国务院水行政主管部门应当会同有关部门和省、自治区、直辖市人民政府制定长江、黄河、珠江、辽河、淮河、海河入海河口的整治规划。</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第五十五条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三）在行洪河道内种植阻碍行洪的林木和高秆作物的。</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自治区级、设区的市或者县级水行政主管部门或者流域管理机构</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lang w:val="en-US" w:eastAsia="zh-CN"/>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tabs>
                <w:tab w:val="center" w:pos="169"/>
              </w:tabs>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对未经批准擅自取水或未依照批准的取水许可规定条件取水的处罚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【法律】《中华人民共和国水法》（2016年7月中华人民共和国主席令第48号第二次修正）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【行政法规】《取水许可和水资源费征收管理条例》（2017年国务院令第676号修改）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第四十八条 未经批准擅自取水，或者未依照批准的取水许可规定条件取水的，依照《中华人民共和国水法》第六十九条规定处罚；给他人造成妨碍或者损失的，应当排除妨碍、赔偿损失。 </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自治区级、设区的市或者县级水行政主管部门或者流域管理机构</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lang w:val="en-US" w:eastAsia="zh-CN"/>
              </w:rPr>
            </w:pPr>
            <w:r>
              <w:rPr>
                <w:rFonts w:hint="eastAsia" w:ascii="宋体" w:hAnsi="宋体" w:cs="宋体"/>
                <w:bCs/>
                <w:color w:val="000000"/>
                <w:kern w:val="0"/>
                <w:sz w:val="20"/>
                <w:szCs w:val="20"/>
                <w:lang w:val="en-US"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对侵占、毁坏水工程及水利设施、从事影响水利工程安全行为的处罚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【法律】《中华人民共和国水法》（2016年7月中华人民共和国主席令第48号第二次修正）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自治区级、设区的市或者县级水行政主管部门或者流域管理机构</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lang w:val="en-US" w:eastAsia="zh-CN"/>
              </w:rPr>
            </w:pPr>
            <w:r>
              <w:rPr>
                <w:rFonts w:hint="eastAsia" w:ascii="宋体" w:hAnsi="宋体" w:cs="宋体"/>
                <w:bCs/>
                <w:color w:val="000000"/>
                <w:kern w:val="0"/>
                <w:sz w:val="20"/>
                <w:szCs w:val="20"/>
                <w:lang w:val="en-US"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4</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对侵占、破坏水源和抗旱设施行为的处罚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【行政法规】《中华人民共和国抗旱条例》（2009年国务院第552号令）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自治区级、设区的市或者县级水行政主管部门或者流域管理机构</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5</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对未经批准，擅自在水工程管理范围内开采地下资源或者进行考古发掘等行为的处罚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p>
            <w:pPr>
              <w:ind w:firstLine="400" w:firstLineChars="200"/>
              <w:rPr>
                <w:rFonts w:hint="eastAsia" w:ascii="宋体" w:hAnsi="宋体" w:cs="宋体"/>
                <w:color w:val="000000"/>
                <w:sz w:val="20"/>
                <w:szCs w:val="20"/>
              </w:rPr>
            </w:pPr>
          </w:p>
          <w:p>
            <w:pPr>
              <w:ind w:firstLine="400" w:firstLineChars="200"/>
              <w:rPr>
                <w:rFonts w:hint="eastAsia" w:ascii="宋体" w:hAnsi="宋体" w:cs="宋体"/>
                <w:color w:val="000000"/>
                <w:sz w:val="20"/>
                <w:szCs w:val="20"/>
              </w:rPr>
            </w:pPr>
          </w:p>
          <w:p>
            <w:pPr>
              <w:ind w:firstLine="400" w:firstLineChars="200"/>
              <w:rPr>
                <w:rFonts w:hint="eastAsia" w:ascii="宋体" w:hAnsi="宋体" w:cs="宋体"/>
                <w:color w:val="000000"/>
                <w:sz w:val="20"/>
                <w:szCs w:val="20"/>
              </w:rPr>
            </w:pPr>
          </w:p>
          <w:p>
            <w:pPr>
              <w:ind w:firstLine="600" w:firstLineChars="300"/>
              <w:rPr>
                <w:rFonts w:hint="eastAsia" w:ascii="宋体" w:hAnsi="宋体" w:cs="宋体"/>
                <w:color w:val="000000"/>
                <w:sz w:val="20"/>
                <w:szCs w:val="20"/>
              </w:rPr>
            </w:pPr>
            <w:r>
              <w:rPr>
                <w:rFonts w:hint="eastAsia" w:ascii="宋体" w:hAnsi="宋体" w:cs="宋体"/>
                <w:color w:val="000000"/>
                <w:sz w:val="20"/>
                <w:szCs w:val="20"/>
              </w:rPr>
              <w:t>【地方性法规】《宁夏回族自治区水工程管理条例》（2002年11月</w:t>
            </w:r>
            <w:r>
              <w:rPr>
                <w:rFonts w:hint="eastAsia" w:ascii="宋体" w:hAnsi="宋体" w:cs="宋体"/>
                <w:color w:val="000000"/>
                <w:sz w:val="20"/>
                <w:szCs w:val="20"/>
              </w:rPr>
              <w:fldChar w:fldCharType="begin"/>
            </w:r>
            <w:r>
              <w:rPr>
                <w:rFonts w:hint="eastAsia" w:ascii="宋体" w:hAnsi="宋体" w:cs="宋体"/>
                <w:color w:val="000000"/>
                <w:sz w:val="20"/>
                <w:szCs w:val="20"/>
              </w:rPr>
              <w:instrText xml:space="preserve"> HYPERLINK "http://conac.pkulaw.cn/cluster_form.aspx?Db=lar&amp;EncodingName=&amp;search_tj=fdep_id%7b3a82801" \t "http://conac.pkulaw.cn/_blank" </w:instrText>
            </w:r>
            <w:r>
              <w:rPr>
                <w:rFonts w:hint="eastAsia" w:ascii="宋体" w:hAnsi="宋体" w:cs="宋体"/>
                <w:color w:val="000000"/>
                <w:sz w:val="20"/>
                <w:szCs w:val="20"/>
              </w:rPr>
              <w:fldChar w:fldCharType="separate"/>
            </w:r>
            <w:r>
              <w:rPr>
                <w:rFonts w:hint="eastAsia" w:ascii="宋体" w:hAnsi="宋体" w:cs="宋体"/>
                <w:color w:val="000000"/>
                <w:sz w:val="20"/>
                <w:szCs w:val="20"/>
              </w:rPr>
              <w:t>宁夏回族自治区人</w:t>
            </w:r>
            <w:r>
              <w:rPr>
                <w:rFonts w:hint="eastAsia" w:ascii="宋体" w:hAnsi="宋体" w:cs="宋体"/>
                <w:color w:val="000000"/>
                <w:sz w:val="20"/>
                <w:szCs w:val="20"/>
                <w:lang w:eastAsia="zh-CN"/>
              </w:rPr>
              <w:t>民代表</w:t>
            </w:r>
            <w:r>
              <w:rPr>
                <w:rFonts w:hint="eastAsia" w:ascii="宋体" w:hAnsi="宋体" w:cs="宋体"/>
                <w:color w:val="000000"/>
                <w:sz w:val="20"/>
                <w:szCs w:val="20"/>
              </w:rPr>
              <w:t>大</w:t>
            </w:r>
            <w:r>
              <w:rPr>
                <w:rFonts w:hint="eastAsia" w:ascii="宋体" w:hAnsi="宋体" w:cs="宋体"/>
                <w:color w:val="000000"/>
                <w:sz w:val="20"/>
                <w:szCs w:val="20"/>
              </w:rPr>
              <w:fldChar w:fldCharType="end"/>
            </w:r>
            <w:r>
              <w:rPr>
                <w:rFonts w:hint="eastAsia" w:ascii="宋体" w:hAnsi="宋体" w:cs="宋体"/>
                <w:color w:val="000000"/>
                <w:sz w:val="20"/>
                <w:szCs w:val="20"/>
                <w:lang w:eastAsia="zh-CN"/>
              </w:rPr>
              <w:t>会常务委员会第</w:t>
            </w:r>
            <w:r>
              <w:rPr>
                <w:rFonts w:hint="eastAsia" w:ascii="宋体" w:hAnsi="宋体" w:cs="宋体"/>
                <w:color w:val="000000"/>
                <w:sz w:val="20"/>
                <w:szCs w:val="20"/>
                <w:lang w:val="en-US" w:eastAsia="zh-CN"/>
              </w:rPr>
              <w:t>29次会议通过</w:t>
            </w:r>
            <w:r>
              <w:rPr>
                <w:rFonts w:hint="eastAsia" w:ascii="宋体" w:hAnsi="宋体" w:cs="宋体"/>
                <w:color w:val="000000"/>
                <w:sz w:val="20"/>
                <w:szCs w:val="20"/>
              </w:rPr>
              <w:t>）</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第四十四条 违反本条例第二十七条、第二十八条、第二十九条第二款规定的，由县级以上人民政府水行政主管部门或者自治区水行政主管部门所属的水工程管理机构依据职权责令纠正违法行为，采取补救措施，没收违法所得，可以并处五万元以下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第二十七条 水工程管理范围内，禁止下列行为：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（一）扒口、爆破、建窑、筑坟、打井、开矿，修建房屋或者从事其他建筑活动；</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（二）弃置砂石淤泥、存放物料，倾倒垃圾、废渣、尾矿，掩埋污染水体的物体；</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（三）损毁水工程及其观测、通讯、供电、照明、交通、消防等附属设施；</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（四）在库区、蓄滞洪区、湖泊、堤坝或者渠堤上从事影响蓄洪、行洪活动；</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（五）向水域排放超过国家标准的污水，以爆炸、投毒、电击或者打坝等方式的捕捞活动；</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（六）在水闸工作桥、测水桥、渡槽、无路面的坝顶、堤顶上行驶车辆。但是维护水工程的车辆除外；</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（七）擅自操作水工程设备或者取用水；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（八）其他妨碍水工程运行或者危及水工程安全的行为。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第二十八条 未经县级以上人民政府水行政主管部门批准，在水工程管理范围内，不得从事下列活动：（一）钻探、采石、采砂、取土、淘金；（二）设置取用水设施、向水域排水、挖筑鱼池、水塘；（三）开采地下资源或者进行考古发掘；（四）在坝、渠、沟堤上修路；（五）砍伐水工程防护林木；（六）在通讯、供电等水利专用线路上搭接其他线路。</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第二十九条 县级以上人民政府水行政主管部门应当按照自治区人民政府有关规定，在水工程管理范围相邻地域划定水工程保护范围，并确定保护职责。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在水工程保护范围内，禁止从事影响水工程运行和危害水工程安全的爆破、打井、采石、采砂、取土等活动。</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自治区级、设区的市或者县级水行政主管部门或者流域管理机构</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6"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6</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对单位和个人占用行水、蓄水区域或因生产、集市贸易或者其它活动使行洪沟道成为通行道行为的处罚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【地方性法规】《宁夏回族自治区水工程管理条例》（2002年11月</w:t>
            </w:r>
            <w:r>
              <w:rPr>
                <w:rFonts w:hint="eastAsia" w:ascii="宋体" w:hAnsi="宋体" w:cs="宋体"/>
                <w:color w:val="000000"/>
                <w:sz w:val="20"/>
                <w:szCs w:val="20"/>
              </w:rPr>
              <w:fldChar w:fldCharType="begin"/>
            </w:r>
            <w:r>
              <w:rPr>
                <w:rFonts w:hint="eastAsia" w:ascii="宋体" w:hAnsi="宋体" w:cs="宋体"/>
                <w:color w:val="000000"/>
                <w:sz w:val="20"/>
                <w:szCs w:val="20"/>
              </w:rPr>
              <w:instrText xml:space="preserve"> HYPERLINK "http://conac.pkulaw.cn/cluster_form.aspx?Db=lar&amp;EncodingName=&amp;search_tj=fdep_id%7b3a82801" \t "http://conac.pkulaw.cn/_blank" </w:instrText>
            </w:r>
            <w:r>
              <w:rPr>
                <w:rFonts w:hint="eastAsia" w:ascii="宋体" w:hAnsi="宋体" w:cs="宋体"/>
                <w:color w:val="000000"/>
                <w:sz w:val="20"/>
                <w:szCs w:val="20"/>
              </w:rPr>
              <w:fldChar w:fldCharType="separate"/>
            </w:r>
            <w:r>
              <w:rPr>
                <w:rFonts w:hint="eastAsia" w:ascii="宋体" w:hAnsi="宋体" w:cs="宋体"/>
                <w:color w:val="000000"/>
                <w:sz w:val="20"/>
                <w:szCs w:val="20"/>
              </w:rPr>
              <w:t>宁夏回族自治区人</w:t>
            </w:r>
            <w:r>
              <w:rPr>
                <w:rFonts w:hint="eastAsia" w:ascii="宋体" w:hAnsi="宋体" w:cs="宋体"/>
                <w:color w:val="000000"/>
                <w:sz w:val="20"/>
                <w:szCs w:val="20"/>
                <w:lang w:eastAsia="zh-CN"/>
              </w:rPr>
              <w:t>民代表</w:t>
            </w:r>
            <w:r>
              <w:rPr>
                <w:rFonts w:hint="eastAsia" w:ascii="宋体" w:hAnsi="宋体" w:cs="宋体"/>
                <w:color w:val="000000"/>
                <w:sz w:val="20"/>
                <w:szCs w:val="20"/>
              </w:rPr>
              <w:t>大</w:t>
            </w:r>
            <w:r>
              <w:rPr>
                <w:rFonts w:hint="eastAsia" w:ascii="宋体" w:hAnsi="宋体" w:cs="宋体"/>
                <w:color w:val="000000"/>
                <w:sz w:val="20"/>
                <w:szCs w:val="20"/>
              </w:rPr>
              <w:fldChar w:fldCharType="end"/>
            </w:r>
            <w:r>
              <w:rPr>
                <w:rFonts w:hint="eastAsia" w:ascii="宋体" w:hAnsi="宋体" w:cs="宋体"/>
                <w:color w:val="000000"/>
                <w:sz w:val="20"/>
                <w:szCs w:val="20"/>
                <w:lang w:eastAsia="zh-CN"/>
              </w:rPr>
              <w:t>会常务委员会第</w:t>
            </w:r>
            <w:r>
              <w:rPr>
                <w:rFonts w:hint="eastAsia" w:ascii="宋体" w:hAnsi="宋体" w:cs="宋体"/>
                <w:color w:val="000000"/>
                <w:sz w:val="20"/>
                <w:szCs w:val="20"/>
                <w:lang w:val="en-US" w:eastAsia="zh-CN"/>
              </w:rPr>
              <w:t>29次会议通过</w:t>
            </w:r>
            <w:r>
              <w:rPr>
                <w:rFonts w:hint="eastAsia" w:ascii="宋体" w:hAnsi="宋体" w:cs="宋体"/>
                <w:color w:val="000000"/>
                <w:sz w:val="20"/>
                <w:szCs w:val="20"/>
              </w:rPr>
              <w:t>）</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第四十三条 违反本条例第二十二、二十三条规定的，由县级以上人民政府水行政主管部门或者自治区水行政主管部门所属的水工程管理机构依据职权责令纠正违法行为，可以处一万元以上五万元以下罚款。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第二十二条 退水沟道、蓄水塘洼，由县级以上人民政府水行政主管部门划定。任何单位和个人不得占用行水、蓄水区域。</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第二十三条 汛期内行洪沟道禁止通行，任何单位和个人不得因生产、集市贸易或者其他活动使行洪沟道成为通行道。</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因紧急情况作为通行道时，应当经县级以上人民政府水行政主管部门或者防汛指挥机构批准，并采取防汛安全措施。</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自治区级、设区的市或者县级水行政主管部门或者流域管理机构</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7</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对未经批准擅自兴建殡葬设施的处罚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【行政法规】《殡葬管理条例》（2012年国务院令第628号修订)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第七条 省、自治区、直辖市人民政府民政部门应当根据本行政区域的殡葬工作规划和殡葬需要，提出殡仪馆、火葬场、骨灰堂、公墓、殡仪服务站等殡葬设施的数量、布局规划，报本级人民政府审批。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第十八条 未经批准，擅自兴建殡葬设施的，由民政部门会同建设、土地行政管理部门予以取缔，责令恢复原状，没收违法所得，可以并处违法所得1倍以上3倍以下的罚款。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自治区级、设区的市或者县级民政部门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8</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对在崩塌、滑坡危险区或者泥石流易发区从事取土、挖砂、采石等可能造成水土流失的行为的处罚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【法律】《中华人民共和国水土保持法》（2010年12月中华人民共和国主席令第39号修订）</w:t>
            </w:r>
            <w:r>
              <w:rPr>
                <w:rFonts w:hint="eastAsia" w:ascii="宋体" w:hAnsi="宋体" w:cs="宋体"/>
                <w:color w:val="000000"/>
                <w:sz w:val="20"/>
                <w:szCs w:val="20"/>
              </w:rPr>
              <w:br w:type="textWrapping"/>
            </w:r>
            <w:r>
              <w:rPr>
                <w:rFonts w:hint="eastAsia" w:ascii="宋体" w:hAnsi="宋体" w:cs="宋体"/>
                <w:color w:val="000000"/>
                <w:sz w:val="20"/>
                <w:szCs w:val="20"/>
              </w:rPr>
              <w:t xml:space="preserve">    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县级以上地方人民政府</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3"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9</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对在禁止开垦坡度以上陡坡地开垦种植农作物或者在禁止开垦、开发的植物保护带内开垦、开发行为的处罚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【法律】《中华人民共和国水土保持法》（2010年12月中华人民共和国主席令第39号修订）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自治区、设区的市、县级水行政主管部门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10</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对采集发菜或者在水土流失重点预防区和重点治理区铲草皮、挖树兜、滥挖虫草、甘草、麻黄等行为的处罚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【法律】《中华人民共和国水土保持法》（2010年12月中华人民共和国主席令第39号修订）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第五十一条第一款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自治区、设区的市、县级水行政主管部门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11</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对随意倾倒、抛洒、堆放城市生活垃圾的处罚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【部门规章】《城市生活垃圾管理办法》（2015年5月建设部令第24号修正）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 单位和个人应当按照规定的地点、时间等要求，将生活垃圾投放到指定的垃圾容器或者收集场所。废旧家具等大件垃圾应当按规定时间投放在指定的收集场所。</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城市生活垃圾实行分类收集的地区，单位和个人应当按照规定的分类要求，将生活垃圾装入相应的垃圾袋内，投入指定的垃圾容器或者收集场所。</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宾馆、饭店、餐馆以及机关、院校等单位应当按照规定单独收集、存放本单位产生的餐厨垃圾，并交符合本办法要求的城市生活垃圾收集、运输企业运至规定的城市生活垃圾处理场所。</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设区的市、县级环境卫生主管部门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2"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12</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对建筑垃圾储运消纳场受纳工业垃圾、生活垃圾和有毒有害垃圾的处罚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【法律】《中华人民共和国城乡规划法》（2015年4月中华人民共和国主席令第29号第二次修正）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【部门规章】《城市建筑垃圾管理规定》（2005年3月建设部令第139号）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第二十一条 建筑垃圾储运消纳场受纳工业垃圾、生活垃圾和有毒有害垃圾的，由城市人民政府市容环境卫生主管部门责令限期改正，给予警告，处5000元以上1万元以下罚款。  </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设区的市、县级市容环境卫生主管部门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13</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对未经批准，在住宅室内装饰装修活动中搭建建筑物、构筑物的，或者擅自改变住宅外立面、在非承重外墙上开门、窗的处罚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【部门规章】《住宅室内装饰装修管理办法》（2011年住建部令第9号修订）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设区的市、县级城市规划行政主管部门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14</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对施工单位未及时清运工程施工过程中产生的建筑垃圾的处罚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【部门规章】《城市建筑垃圾管理规定》（2005年3月建设部令第139号）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第二十二条 施工单位未及时清运工程施工过程中产生的建筑垃圾，造成环境污染的，由城市人民政府市容环境卫生主管部门责令限期改正，给予警告，处5000元以上5万元以下罚款。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施工单位将建筑垃圾交给个人或者未经核准从事建筑垃圾运输的单位处置的，由城市人民政府市容环境卫生主管部门责令限期改正，给予警告，处1万元以上10万元以下罚款。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设区的市、县级市容环境卫生主管部门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2"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15</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对单位和个人随意倾倒、抛撒或者堆放建筑垃圾的处罚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【部门规章】《城市建筑垃圾管理规定》（2005年3月建设部令第139号）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第十五条 任何单位和个人不得随意倾倒、抛撒或者堆放建筑垃圾。 </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第二十六条 任何单位和个人随意倾倒、抛撒或者堆放建筑垃圾的，由城市人民政府市容环境卫生主管部门责令限期改正，给予警告，并对单位处5000元以上5万元以下罚款，对个人处200元以下罚款。 </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设区的市、县级市容环境卫生主管部门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3"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16</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对擅自拆除、迁移环境卫生设施的处罚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【行政法规】《城市市容和环境卫生管理条例》（2017年3月国务院令第676号修正）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第十四条 车站、机场、广场、大型商场、公园、旅游景点、文化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任何单位和个人不得侵占、毁坏或者擅自拆除、迁移、封闭环境卫生设施。因城市建设确需拆除、迁移环境卫生设施的，应当征得市容环境卫生行政主管部门的同意，并按照规定重建或者补建。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第四十六条 违反本条例第十四条第二款规定，擅自拆除、迁移环境卫生设施的，责令恢复原状，并处五千元至一万元的罚款。  </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违反本条例第十四条第二款规定，侵占、毁坏、封闭环境卫生设施的，责令恢复原状或者赔偿损失，并处二百元至二千元的罚款；构成违反治安管理行为的，由公安机关依法处理。 </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设区的市、县级市容环境卫生行政主管部门或者其委托的单位</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17</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对在运输建筑垃圾过程中沿途丢弃、遗撒建筑垃圾的处罚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【部门规章】《城市建筑垃圾管理规定》（2005年3月建设部令第139号）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第二十三条 处置建筑垃圾的单位在运输建筑垃圾过程中沿途丢弃、遗撒建筑垃圾的，由城市人民政府市容环境卫生主管部门责令限期改正，给予警告，处5000元以上5万元以下罚款。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设区的市、县级市容环境卫生主管部门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18</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对将垃圾、泔水排入雨水管道、污水排水管道、河道、公共厕所等地方的处罚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第三十六条 餐厅（馆）及单位食堂、食品加工企业、榨油厂等产生的垃圾、泔水，必须运输到市容环境卫生行政主管部门指定的地点集中处理。  </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禁止餐厅（馆）及单位食堂、食品加工企业、榨油厂等将产生的垃圾、泔水排入雨水管道、污水排水管道、河道、公共厕所等地方。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第五十条  违反第三十六条第二款规定，将垃圾、泔水排入雨水管道、污水排水管道、河道、公共厕所等地方的，处以五百元至二千元的罚款。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设区的市、县级市容环境卫生主管部门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19</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对在森林防火期、森林防火区内擅自野外用火行为的处罚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【行政法规】《森林防火条例》（2008年12月国务院令第541号修订）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自治区、设区的市、县级林业主管部门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20</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对禁牧期和禁牧区域放牧或者休牧期、轮牧区抢牧、滥牧的处罚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【地方性法规】《宁夏回族自治区草原管理条例》（2005年</w:t>
            </w:r>
            <w:r>
              <w:rPr>
                <w:rFonts w:hint="eastAsia" w:ascii="宋体" w:hAnsi="宋体" w:cs="宋体"/>
                <w:color w:val="000000"/>
                <w:sz w:val="20"/>
                <w:szCs w:val="20"/>
                <w:lang w:eastAsia="zh-CN"/>
              </w:rPr>
              <w:t>宁夏回族自治区人民代表大会常务委员会第</w:t>
            </w:r>
            <w:r>
              <w:rPr>
                <w:rFonts w:hint="eastAsia" w:ascii="宋体" w:hAnsi="宋体" w:cs="宋体"/>
                <w:color w:val="000000"/>
                <w:sz w:val="20"/>
                <w:szCs w:val="20"/>
                <w:lang w:val="en-US" w:eastAsia="zh-CN"/>
              </w:rPr>
              <w:t>19次会议</w:t>
            </w:r>
            <w:r>
              <w:rPr>
                <w:rFonts w:hint="eastAsia" w:ascii="宋体" w:hAnsi="宋体" w:cs="宋体"/>
                <w:color w:val="000000"/>
                <w:sz w:val="20"/>
                <w:szCs w:val="20"/>
              </w:rPr>
              <w:t>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第四十四条 违反本条例规定，在草原禁牧期和禁牧区域放牧牲畜的，或者在休牧期、轮牧区抢牧、滥牧的，由县级以上人民政府草原行政主管部门给予警告，并可处以每个羊单位五元以上三十元以下的罚款；无法确定放牧羊单位的数量的，处以一百元以上二千元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设区的市、县级草原行政主管部门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7"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21</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对在禁牧区域内放牧行为的处罚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【地方性法规】《宁夏回族自治区禁牧封育条例》（2011年1月宁夏回族自治区人民代表大会常务委员会公告第85号）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第九条 在禁牧区域内禁止下列活动：（一）放养牛、羊等草食动物；（二）破坏、盗窃、擅自移动禁牧的标志、围栏设施；（三）法律、法规规定禁止的其他活动。</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第二十二条 违反本条例第九条第一项规定，在禁牧区域内放牧的，由县级以上人民政府农牧、林业主管部门或者乡（镇）人民政府责令改正，给予警告，可以并处每个羊单位五元以上三十元以下的罚款；对林木造成毁坏的，除依法赔偿损失外，由县级以上人民政府林业主管部门责令补种毁坏株数一倍以上三倍以下的树木；拒不补种树木或者补种不符合规定的，由林业主管部门代为补种，所需费用由违法者支付。</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自治区、设区的市、县级林业主管部门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22</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对临时占用林地逾期不归还行为的处罚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【行政法规】《中华人民共和国森林法实施条例》（2018年3月国务院令第698号第三次修订）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第四十三条 未经县级以上人民政府林业主管部门审核同意，擅自改变林地用途的，由县级以上人民政府林业主管部门责令限期恢复原状，并处非法改变用途林地每平方米10元至30元的罚款。临时占用林地，逾期不归还的，依照前款规定处罚。</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自治区、设区的市、县级林业主管部门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23</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破坏或者擅自改变基本农田保护区标志的处罚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【行政法规】《中华人民共和国土地管理法实施条例》（2014年7月国务院令第653号修订）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第十条第二款 县级和乡（镇）土地利用总体规划应当根据需要，划定基本农田保护区、土地开垦区、建设用地区和禁止开垦区等；其中，乡（镇）土地利用总体规划还应当根据土地使用条件，确定每一块土地的用途。</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【行政法规】《基本农田保护条例》（2011年国务院令第588号修订）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第三十二条 违反本条例规定，破坏或者擅自改变基本农田保护区标志的，由县级以上地方人民政府土地行政主管部门或者农业行政主管部门责令恢复原状，可以处1000元以下罚款。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设区的市、县级自然资源主管部门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24</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用人单位未及时为劳动者办理就业登记手续的处罚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【部门规章】《就业服务与就业管理规定》 （2018年人力资源和社会保障部令第38号修订）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劳动者从事个体经营或灵活就业的，由本人在街道、乡镇公共就业服务机构办理就业登记。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就业登记的内容主要包括劳动者个人信息、就业类型、就业时间、就业单位以及订立、终止或者解除劳动合同情况等。就业登记的具体内容和所需材料由省级劳动保障行政部门规定。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公共就业服务机构应当对用人单位办理就业登记及相关手续设立专门服务窗口，简化程序，方便用人单位办理。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第七十五条  用人单位违反本规定第六十二条规定，未及时为劳动者办理就业登记手续的，由劳动保障行政部门责令改正，并可处以一千元以下的罚款。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自治区、设区的市、县级劳动保障行政部门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25</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对收购没有林木采伐许可证或者其他合法来源证明的木材行为的处罚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【行政法规】《中华人民共和国森林法实施条例》（2018年3月国务院令第698号第三次修订）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第四十条  违反本条例规定，收购没有林木采伐许可证或者其他合法来源证明的木材的，由县级以上人民政府林业主管部门没收非法经营的木材和违法所得，并处违法所得2倍以下的罚款。”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自治区、设区的市、县级林业主管部门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26</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对未采取防沙治沙措施造成土地严重沙化行为的处罚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【法律】《中华人民共和国防沙治沙法》（2018年10月中华人民共和国主席令第16号修正）</w:t>
            </w:r>
            <w:r>
              <w:rPr>
                <w:rFonts w:hint="eastAsia" w:ascii="宋体" w:hAnsi="宋体" w:cs="宋体"/>
                <w:color w:val="000000"/>
                <w:sz w:val="20"/>
                <w:szCs w:val="20"/>
              </w:rPr>
              <w:br w:type="textWrapping"/>
            </w:r>
            <w:r>
              <w:rPr>
                <w:rFonts w:hint="eastAsia" w:ascii="宋体" w:hAnsi="宋体" w:cs="宋体"/>
                <w:color w:val="000000"/>
                <w:sz w:val="20"/>
                <w:szCs w:val="20"/>
              </w:rPr>
              <w:t xml:space="preserve">    第二十五条第一款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r>
              <w:rPr>
                <w:rFonts w:hint="eastAsia" w:ascii="宋体" w:hAnsi="宋体" w:cs="宋体"/>
                <w:color w:val="000000"/>
                <w:sz w:val="20"/>
                <w:szCs w:val="20"/>
              </w:rPr>
              <w:br w:type="textWrapping"/>
            </w:r>
            <w:r>
              <w:rPr>
                <w:rFonts w:hint="eastAsia" w:ascii="宋体" w:hAnsi="宋体" w:cs="宋体"/>
                <w:color w:val="000000"/>
                <w:sz w:val="20"/>
                <w:szCs w:val="20"/>
              </w:rPr>
              <w:t xml:space="preserve">    第三十九条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自治区、设区的市、县级林业主管部门、农(牧业)行政主管部门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27</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在公厕内乱丢垃圾、污物，随地吐痰，乱涂乱画的；破坏公厕设施、设备的；未经批准擅自占用或者改变公厕使用性质的处罚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【部门规章】《城市公厕管理办法》（2011年住建部令第9号修正）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第二十四条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设区的市和县级环境卫生行政主管部门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28</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临街建筑物外立面污浊的；在临街建筑物的阳台外、窗外吊挂、晾晒物品的；临街建筑物上安装的空调室外机、排气扇（管）、防盗窗（网）、遮阳篷、太阳能热水器等不符合市容管理规定的；公交车等机动车辆上的广告画面和字迹陈旧、污损，未及时清洗、修复或者更换的；在市容环境卫生行政主管部门划定的区域以外从事设摊经营和汽车修理、清洗活动的; 在城市建筑物、构筑物和其他设施以及树木上乱涂写、刻画或者随意张贴零星宣传品的；擅自悬挂、张贴宣传品的；城市内的工程施工现场不符合市容环境卫生规定的处罚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第二十二条 临街建筑物，应当保持外立面完好、整洁、美观。</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临街建筑物的阳台、门窗、屋顶应当保持整洁、美观。禁止在临街建筑物的阳台外、窗外吊挂、晾晒物品。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鼓励在临街建筑物的阳台和平台上种花、种草。搭建或者封闭露台、阳台、外走廊等，应当符合城市容貌标准，并保证邻居和行人安全。</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第二十三条 临街建筑物上安装空调室外机、排气扇（管）、防盗窗（网）、遮阳篷、太阳能热水器等，应当保持外形整洁、美观，并将空调室外机的冷却水引入室内或者下水道，不得随意排放。 </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第二十五条 进入市区行驶的交通运输工具，应当保持外型完好、整洁。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利用公交车等机动车辆进行广告宣传的，应当保持广告画面和字迹整洁完好，语言文字规范；出现陈旧、污损的，应当及时清洗、修复或者更换。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第二十六条 市容环境卫生行政主管部门应当在市区内合理划分可以设摊经营和从事汽车修理、清洗活动的区域，并应当现场明示。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禁止在市容环境卫生行政主管部门划定的区域以外从事设摊经营和汽车修理、清洗活动。 </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第二十七条 禁止任何单位和个人在城市建筑物、构筑物及其他设施和树木上乱涂写、刻画。</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零星张贴宣传品的，应当张贴在公共张贴栏中。禁止随意张贴零星宣传品。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第二十八条 机关、团体、企业事业单位临街悬挂、张贴宣传品等的，应当经市容环境卫生行政主管部门批准。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申请临街悬挂、张贴宣传品的，应当提交申请书和单位证明。申请书的内容包括宣传的内容、悬挂地点、悬挂期限并加盖单位印章。</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申请单位提交的材料齐全，内容符合规定的，市容环境卫生行政主管部门审查后，应当及时书面作出决定。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市容环境卫生行政主管部门受理本条规定的审批事项，不得收取费用。</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机关、团体、企事业单位临街悬挂、张贴宣传品的，应当保持外形整洁、美观，并在规定的期限内予以清除。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第二十九条 城市内的工程施工现场应当符合下列规定：（一）在批准的占地范围内封闭作业； （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第四十八条 有下列情形之一的，责令限期改正，给予警告；逾期拒不改正的，给予罚款：（一）违反第二十二条第一款规定，临街建筑物外立面污浊的，处以五百元至二千元的罚款；（二）违反第二十二条第二款规定，在临街建筑物的阳台外、窗外吊挂、晾晒物品的，处以二十元至五十元的罚款；（三）违反第二十三条规定，临街建筑物上安装的空调室外机、排气扇（管）、防盗窗（网）、遮阳篷、太阳能热水器等不符合市容管理规定的，处以二十元至二百元的罚款；（四）违反第二十五条第二款规定，公交车等机动车辆上的广告画面和字迹陈旧、污损，未及时清洗、修复或者更换的，对广告经营者或者车辆营运人处以五十元至二百元的罚款；（五）违反第二十六条第二款规定，在市容环境卫生行政主管部门划定的区域以外从事设摊经营和汽车修理、清洗活动的，处以一百元至五百元的罚款; （六）违反第二十七条规定，在城市建筑物、构筑物和其他设施以及树木上乱涂写、刻画或者随意张贴零星宣传品的，对行为人处以一百元至一千元的罚款；情节严重的，处以五百元至二千元的罚款；（七）违反第二十八条规定，擅自悬挂、张贴宣传品的，处以二百元至一千元的罚款；（八）违反第二十九条规定，城市内的工程施工现场不符合市容环境卫生规定，处以五百元至一千元的罚款。  </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设区的市和县级环境卫生行政主管部门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29</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非法占用土地的处罚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【法律】《中华人民共和国土地管理法》（2019年8月中华人民共和国主席令第32号第三次修正）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超过批准的数量占用土地，多占的土地以非法占用土地论处。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第七十八条 农村村民未经批准或者采取欺骗手段骗取批准，非法占用土地建住宅的，由县级以上人民政府农业农村主管部门责令退还非法占用的土地，限期拆除在非法占用的土地上新建的房屋。</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超过省、自治区、直辖市规定的标准，多占的土地以非法占用土地论处。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非法批准征收、使用土地，对当事人造成损失的，依法应当承担赔偿责任。</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【行政法规】《中华人民共和国土地管理法实施条例》（2014年7月国务院令第653号修订）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  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第三十四条 违反本条例第十七条的规定，在土地利用总体规划确定的禁止开垦区内进行开垦的，由县级以上人民政府土地行政主管部门责令限期改正；逾期不改正的，依照《土地管理法》第七十六条的规定处罚。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第四十二条 依照《土地管理法》第七十六条的规定处以罚款的，罚款额为非法占用土地每平方米30元以下。</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【行政法规】《基本农田保护条例》(2011年1月国务院令第588号修改)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第三十条 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【地方性法规】《宁夏回族自治区土地管理条例》（2012年</w:t>
            </w:r>
            <w:r>
              <w:rPr>
                <w:rFonts w:hint="eastAsia" w:ascii="宋体" w:hAnsi="宋体" w:cs="宋体"/>
                <w:color w:val="000000"/>
                <w:sz w:val="20"/>
                <w:szCs w:val="20"/>
                <w:lang w:eastAsia="zh-CN"/>
              </w:rPr>
              <w:t>宁夏回族自治区人民代表大会常务委员会第</w:t>
            </w:r>
            <w:r>
              <w:rPr>
                <w:rFonts w:hint="eastAsia" w:ascii="宋体" w:hAnsi="宋体" w:cs="宋体"/>
                <w:color w:val="000000"/>
                <w:sz w:val="20"/>
                <w:szCs w:val="20"/>
                <w:lang w:val="en-US" w:eastAsia="zh-CN"/>
              </w:rPr>
              <w:t>29次会议</w:t>
            </w:r>
            <w:r>
              <w:rPr>
                <w:rFonts w:hint="eastAsia" w:ascii="宋体" w:hAnsi="宋体" w:cs="宋体"/>
                <w:color w:val="000000"/>
                <w:sz w:val="20"/>
                <w:szCs w:val="20"/>
              </w:rPr>
              <w:t>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第七十三条  有下列行为之一的，按照非法占用土地处罚：(一)未经批准或者采取冒名顶替、谎报地类、化整为零等手段骗取批准占用土地的；(二)超过批准用地数量或者不按照批准位置使用土地的；(三)土地使用权被依法收回，拒不交还土地的；(四)临时使用土地期满，逾期不归还又不办理续用手续的；(五)其他非法占用土地的。未经批准在划拨使用的土地上翻建、改建、扩建建筑物、构筑物的，以非法占用土地论处。单位和个人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并可对非法占用的土地按基本农田每平方米十至三十元，一般耕地、林地每平方米五至二十元，其他土地每平方米二至十元处以罚款；对非法占用土地单位的直接负责的主管人员和其他直接责任人员，依法给予行政处分；构成犯罪的，依法追究刑事责任。非法开垦或者在土地利用总体规划确定的禁止开垦区内开垦荒地、荒山、荒滩的，责令限期改正；逾期不改正的，依照前款的规定处罚。农村村民非法占用土地建住宅或者建造其他建筑物、构筑物的，责令退还非法占用的土地，限期拆除在非法占用土地上新建的房屋或者其他建筑物、构筑物。超过批准的数量占用土地，多占的土地以非法占用土地论处。</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设区的市和县级自然资源主管部门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30</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影响市容市貌行为随地吐痰、便溺，乱扔果皮、纸屑和烟头等废弃物的；在城市建筑物、设施以及树木上涂写、刻画或者未经批准张挂、张贴宣传品等的；在城市人民政府规定的街道的临街建筑物的阳台和窗外，堆放、吊挂有碍市容的物品的；不按规定的时间、地点、方式，倾倒垃圾、粪便的；不履行卫生责任区清扫保洁义务或者不按规定清运、处理垃圾和粪便的；运输液体、散装货物不作密封、包扎、覆盖，造成泄漏、遗撒的；临街工地不设置护栏或者不作遮挡、停工场地不及时整理并作必要覆盖或者竣工后不及时清理和平整场地，影响市容和环境卫生的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【行政法规】《城市市容和环境卫生管理条例》（2017年3月国务院令第676号修正）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【地方性法规】《宁夏回族自治区市容环境卫生管理条例》（2004年11月宁夏回族自治区人民代表大会常务委员会公告第15号）</w:t>
            </w:r>
            <w:r>
              <w:rPr>
                <w:rFonts w:hint="eastAsia" w:ascii="宋体" w:hAnsi="宋体" w:cs="宋体"/>
                <w:color w:val="000000"/>
                <w:sz w:val="20"/>
                <w:szCs w:val="20"/>
              </w:rPr>
              <w:br w:type="textWrapping"/>
            </w:r>
            <w:r>
              <w:rPr>
                <w:rFonts w:hint="eastAsia" w:ascii="宋体" w:hAnsi="宋体" w:cs="宋体"/>
                <w:color w:val="000000"/>
                <w:sz w:val="20"/>
                <w:szCs w:val="20"/>
              </w:rPr>
              <w:t xml:space="preserve">     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占道从事露天烧烤、餐饮等经营活动；（六）在街巷和居住区从事屠宰家畜家禽和加工肉类、水产品等影响公共环境卫生的经营活动；（七）在街道两侧从事经营性废品收购和废弃物接纳作业；（八）影响环境卫生的其他行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第三十一条 从事车辆清洗、修理的单位和个人，不得向道路排泄污水或者堆放垃圾。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公共绿地的养护单位或者作业单位在道路两侧栽培修剪树木、花草或者花卉等产生的枝叶、泥土应当及时清除。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在城市道路上进行作业产生的污物，作业单位应当随时清运，并负责清洗被污染的路面。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第三十二条 运输砂石、泥浆、粪便、渣土等易撒物品和生活垃圾的车辆，运输人应当采取密闭或者覆盖措施，防止所运输的易撒物品和生活垃圾向道路泄漏或者扬散。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第三十三条 禁止在城市市区内饲养鸡、鸭、鹅、兔、羊、猪等家禽家畜。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居民饲养信鸽的，应当采取措施防止影响居民生活和市容环境卫生。</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严格限制居民饲养宠物犬，饲养宠物犬应当遵守下列规定:(一)不得携犬进入市场、商场、饭店(馆)、公园、公共绿地、医院、文化体育娱乐场所、展览馆等公共场所;(二)不得携犬乘坐公共交通工具;(三)宠物犬在户外排泄粪便的，携犬人应当立即清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具体管理办法由城市人民政府制定。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第四十九条 有下列情形之一的，给予行政处罚：（一）个人违反第三十条（一）、（二）、（三）项规定行为之一的，给予警告，并可处五元至五十元的罚款；（二）违反第三十条（四）、（五）、（六）、（七）项规定行为之一的，责令限期改正，给予警告，并可处以五十元至五百元的罚款；（三）经营者或者作业单位有第三十一条规定行为之一的，责令限期改正，给予警告；逾期拒不改正的，处以一百元至一千元的罚款；（四）运输人违反第三十二条规定，向道路泄漏或者扬散所运输的易撒物品和生活垃圾的，处以二百元至一千元的罚款；（五）单位或者个人违反第三十三条第一款规定，在市区内饲养家禽家畜的，责令限期改正，给予警告；逾期拒不改正的，处以二百元至一千元的罚款；（六）宠物犬饲养人违反第三十三条第三款规定行为之一的，给予警告，并可处十元至五十元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设区的市和县级市容环境卫生行政主管部门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31</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对建设单位和个人未经批准进行临时建设、未按照批准内容进行临时建设、临时建筑物、构筑物超过批准权限不拆除的处罚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【法律】《中华人民共和国城乡规划法》（2019年4月中华人民共和国主席令第29号第二次修正）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第四十四条第一款 在城市、镇规划区内进行临时建设的，应当经城市、市人民政府城乡规划主管部门批准。临时建设影响近期建设规划或者控制性详细规划的实施以及交通、市容、安全等的，不得批准。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第六十六条 建设单位或者个人有下列行为之一的，由所在地城市、市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设区的市、县级城市规划行政主管部门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32</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未取得建设工程规划许可证或者未按照建设工程规划许可证的规定进行建设的处罚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【法律】《中华人民共和国城乡规划法》（2019年4月中华人民共和国主席令第29号第二次修正）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 《宁夏回族自治区实施&lt;中华人民共和国城乡规划法&gt;办法》（2014年</w:t>
            </w:r>
            <w:r>
              <w:rPr>
                <w:rFonts w:hint="eastAsia" w:ascii="宋体" w:hAnsi="宋体" w:cs="宋体"/>
                <w:color w:val="000000"/>
                <w:sz w:val="20"/>
                <w:szCs w:val="20"/>
                <w:lang w:eastAsia="zh-CN"/>
              </w:rPr>
              <w:t>宁夏回族自治区人民代表大会常务委员会公告第</w:t>
            </w:r>
            <w:r>
              <w:rPr>
                <w:rFonts w:hint="eastAsia" w:ascii="宋体" w:hAnsi="宋体" w:cs="宋体"/>
                <w:color w:val="000000"/>
                <w:sz w:val="20"/>
                <w:szCs w:val="20"/>
                <w:lang w:val="en-US" w:eastAsia="zh-CN"/>
              </w:rPr>
              <w:t>9号</w:t>
            </w:r>
            <w:r>
              <w:rPr>
                <w:rFonts w:hint="eastAsia" w:ascii="宋体" w:hAnsi="宋体" w:cs="宋体"/>
                <w:color w:val="000000"/>
                <w:sz w:val="20"/>
                <w:szCs w:val="20"/>
              </w:rPr>
              <w:t>）</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设区的市、县级城市规划行政主管部门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33</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对卫生责任区责任人不履责的处罚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第四条 自治区人民政府建设行政主管部门负责自治区市容环境卫生监督管理工作。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市、县、市辖区人民政府负责市容环境卫生管理工作的部门（以下简称市容环境卫生行政主管部门），负责本行政区域内的市容环境卫生监督管理工作。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设区的市和县级市容环境卫生行政主管部门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34</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对采取虚报、隐瞒、伪造等手段，骗取享受城乡居民最低生活保障待遇等情形的处罚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【行政法规】《城市居民最低生活保障条例》（1999年国务院令第271号）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第十条第一款 享受城市居民最低生活保障待遇的城市居民家庭人均收入情况发生变化的，应当及时通过居民委员会告知管理审批机关，办理停发、减发或者增发城市居民最低生活保障待遇的手续。第二款 管理审批机关应当对享受城市居民最低生活保障待遇的城市居民的家庭收入情况定期进行核查。</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县级人民政府民政部门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35</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对责任人不履行门前“三包”责任的处罚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【行政法规】《城市市容和环境卫生管理条例》（2017年3月国务院令第676号第二次修订）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第三十四条第五项 有下列行为之一者，城市人民政府市容环境卫生行政主管部门或者其委托的单位除责令其纠正违法行为、采取补救措施外，可以并处警告、罚款：（五）不履行卫生责任区清扫保洁义务或者不按规定清运、处理垃圾和粪便的。</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设区的市、县级市容环境卫生行政主管部门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36</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对从事城市生活垃圾经营性清扫、收集、运输的企业在运输过程中沿途丢弃、遗撒生活垃圾的处罚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【部门规章】《城市生活垃圾管理办法》（2015年建设部令第24号修正）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设区的市、县级环境卫生行政主管部门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37</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在公共场所、未成年人活动场所、禁烟区吸烟的处罚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【地方性法规】《宁夏回族自治区爱国卫生工作条例》（2003年7月宁夏回族自治区人民代表大会常务委员会公告第2号）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第二十九条 禁止在医院、影剧院、候车（机、船）室、大中型商场、图书馆、会议厅（室）、体育场馆等公共场所，公共交通工具内，中学、小学、幼儿园、托儿所的教室和活动室，以及未成年人活动的其他场所吸烟。</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在禁止吸烟的场所内有条件的可以设置吸烟区，在禁烟区应当设置禁止吸烟的标志。</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第三十九条 违反本条例，有第二十五条、第二十六条、第二十九条规定行为之一的，由县级以上人民政府负责市容环境卫生行政主管部门依照有关法规、规章给予行政处罚；法规、规章没有规定的，给予警告，并对个人处以四十元至一百元的罚款；对单位处以一千元至五千元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县级以上人民政府负责市容环境卫生行政主管部门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38</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未经批准擅自建设等行为的处罚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【法律】《中华人民共和国城乡规划法》（2019年4月主席令第29号修正）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城市、县人民政府城乡规划主管部门或者省、自治区、直辖市人民政府确定的镇人民政府应当依法将经审定的修建性详细规划、建设工程设计方案的总平面图予以公布。</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在乡、村庄规划区内使用原有宅基地进行农村村民住宅建设的规划管理办法，由省、自治区、直辖市制定。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【行政法规】《城市道路管理条例》（2019年国务院令第710号修订）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第四十二条 违反本条例第二十七条规定，或者有下列行为之一的，由市政工程行政主管部门或者其他有关部门责令限期改正，可以处以2万元以下的罚款；造成损失的，应当依法承担赔偿责任。</w:t>
            </w:r>
          </w:p>
          <w:p>
            <w:pPr>
              <w:ind w:firstLine="400" w:firstLineChars="200"/>
              <w:rPr>
                <w:rFonts w:hint="eastAsia" w:ascii="宋体" w:hAnsi="宋体" w:cs="宋体"/>
                <w:color w:val="000000"/>
                <w:sz w:val="20"/>
                <w:szCs w:val="20"/>
                <w:lang w:val="en-US" w:eastAsia="zh-CN"/>
              </w:rPr>
            </w:pPr>
            <w:r>
              <w:rPr>
                <w:rFonts w:hint="eastAsia" w:ascii="宋体" w:hAnsi="宋体" w:cs="宋体"/>
                <w:color w:val="000000"/>
                <w:sz w:val="20"/>
                <w:szCs w:val="20"/>
              </w:rPr>
              <w:t>【地方性法规】《宁夏回族自治区实施&lt;中华人民共和国城乡规划法&gt;办法》（2014年</w:t>
            </w:r>
            <w:r>
              <w:rPr>
                <w:rFonts w:hint="eastAsia" w:ascii="宋体" w:hAnsi="宋体" w:cs="宋体"/>
                <w:color w:val="000000"/>
                <w:sz w:val="20"/>
                <w:szCs w:val="20"/>
                <w:lang w:eastAsia="zh-CN"/>
              </w:rPr>
              <w:t>宁夏回族自治区人民代表大会常务委员会公告第</w:t>
            </w:r>
            <w:r>
              <w:rPr>
                <w:rFonts w:hint="eastAsia" w:ascii="宋体" w:hAnsi="宋体" w:cs="宋体"/>
                <w:color w:val="000000"/>
                <w:sz w:val="20"/>
                <w:szCs w:val="20"/>
                <w:lang w:val="en-US" w:eastAsia="zh-CN"/>
              </w:rPr>
              <w:t>9号)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县级以上地方人民政府城乡规划主管部门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color w:val="000000"/>
                <w:sz w:val="20"/>
                <w:szCs w:val="20"/>
              </w:rPr>
            </w:pPr>
            <w:r>
              <w:rPr>
                <w:rFonts w:hint="eastAsia" w:ascii="宋体" w:hAnsi="宋体" w:cs="宋体"/>
                <w:color w:val="000000"/>
                <w:sz w:val="20"/>
                <w:szCs w:val="20"/>
              </w:rPr>
              <w:t>39</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单位和个人未按规定缴纳城市生活垃圾处理费的处罚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【部门规章】《城市生活垃圾管理办法》（2015年住房和城乡建设部令24号） </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市、县人民政府建设（环境卫生）主管部门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8"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40</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对在河流、湖泊、水库、渠道以及专门存放地以外的沟道倾倒固体废弃物的处罚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【地方性法规】《宁夏回族自治区实施〈中华人民共和国水土保持法〉办法》（2015年</w:t>
            </w:r>
            <w:r>
              <w:rPr>
                <w:rFonts w:hint="eastAsia" w:ascii="宋体" w:hAnsi="宋体" w:cs="宋体"/>
                <w:color w:val="000000"/>
                <w:sz w:val="20"/>
                <w:szCs w:val="20"/>
                <w:lang w:eastAsia="zh-CN"/>
              </w:rPr>
              <w:t>宁夏回族自治区人民代表大会常务委员会第</w:t>
            </w:r>
            <w:r>
              <w:rPr>
                <w:rFonts w:hint="eastAsia" w:ascii="宋体" w:hAnsi="宋体" w:cs="宋体"/>
                <w:color w:val="000000"/>
                <w:sz w:val="20"/>
                <w:szCs w:val="20"/>
                <w:lang w:val="en-US" w:eastAsia="zh-CN"/>
              </w:rPr>
              <w:t>18次会议</w:t>
            </w:r>
            <w:r>
              <w:rPr>
                <w:rFonts w:hint="eastAsia" w:ascii="宋体" w:hAnsi="宋体" w:cs="宋体"/>
                <w:color w:val="000000"/>
                <w:sz w:val="20"/>
                <w:szCs w:val="20"/>
              </w:rPr>
              <w:t>修订）</w:t>
            </w:r>
            <w:r>
              <w:rPr>
                <w:rFonts w:hint="eastAsia" w:ascii="宋体" w:hAnsi="宋体" w:cs="宋体"/>
                <w:color w:val="000000"/>
                <w:sz w:val="20"/>
                <w:szCs w:val="20"/>
              </w:rPr>
              <w:br w:type="textWrapping"/>
            </w:r>
            <w:r>
              <w:rPr>
                <w:rFonts w:hint="eastAsia" w:ascii="宋体" w:hAnsi="宋体" w:cs="宋体"/>
                <w:color w:val="000000"/>
                <w:sz w:val="20"/>
                <w:szCs w:val="20"/>
              </w:rPr>
              <w:t xml:space="preserve">    第二十四条 违反本办法规定，在河流、湖泊、水库、渠道以及专门存放地以外的沟道倾倒固体废弃物的，由县级以上人民政府水行政主管部门责令停止违法行为，限期清理，按照倾倒数量处每立方米十元以上二十元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县级以上人民政府水行政主管部门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41</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对物业服务企业将一个物业管理区域内的全部物业管理一并委托给他人的处罚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【行政法规】《物业管理条例》（2018年国务院令698号）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【地方性法规】《宁夏回族自治区物业管理条例》 (2010年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自治区人民代表大会常务委员会公告第81号）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设区的市、县级建设行政主管部门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42</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对在幼林地砍柴、毁苗、放牧造成林木毁坏行为的处罚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【法律】《中华人民共和国森林法》（2019年12月</w:t>
            </w:r>
            <w:r>
              <w:rPr>
                <w:rFonts w:hint="eastAsia" w:ascii="宋体" w:hAnsi="宋体" w:cs="宋体"/>
                <w:color w:val="000000"/>
                <w:sz w:val="20"/>
                <w:szCs w:val="20"/>
                <w:lang w:eastAsia="zh-CN"/>
              </w:rPr>
              <w:t>中华人民共和国</w:t>
            </w:r>
            <w:r>
              <w:rPr>
                <w:rFonts w:hint="eastAsia" w:ascii="宋体" w:hAnsi="宋体" w:cs="宋体"/>
                <w:color w:val="000000"/>
                <w:sz w:val="20"/>
                <w:szCs w:val="20"/>
              </w:rPr>
              <w:t>主席令第39号修订）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第七十四条第二款 违反本法规定，在幼林地砍柴、毁苗、放牧造成林木毁坏的，由县级以上人民政府林业主管部门责令停止违法行为，限期在原地或者异地补种毁坏株数一倍以上三倍以下的树木。</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县级以上人民政府林业主管部门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68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center"/>
              <w:rPr>
                <w:rFonts w:hint="eastAsia" w:ascii="宋体" w:hAnsi="宋体" w:cs="宋体"/>
                <w:color w:val="000000"/>
                <w:sz w:val="20"/>
                <w:szCs w:val="20"/>
              </w:rPr>
            </w:pPr>
            <w:r>
              <w:rPr>
                <w:rFonts w:hint="eastAsia" w:ascii="宋体" w:hAnsi="宋体" w:cs="宋体"/>
                <w:color w:val="000000"/>
                <w:sz w:val="20"/>
                <w:szCs w:val="20"/>
              </w:rPr>
              <w:t>43</w:t>
            </w:r>
          </w:p>
        </w:tc>
        <w:tc>
          <w:tcPr>
            <w:tcW w:w="241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对擅自占用城市规划绿地或者城市中已有绿地的处罚</w:t>
            </w:r>
          </w:p>
        </w:tc>
        <w:tc>
          <w:tcPr>
            <w:tcW w:w="849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【行政法规】《城市绿化条例》（2017年国务院令第676号修订）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第二十七条 未经同意擅自占用城市绿化用地的，由城市人民政府城市绿化行政主管部门责令限期退还、恢复原状，可以并处罚款；造成损失的，应当负赔偿责任。</w:t>
            </w:r>
          </w:p>
        </w:tc>
        <w:tc>
          <w:tcPr>
            <w:tcW w:w="1095" w:type="dxa"/>
            <w:tcBorders>
              <w:top w:val="single" w:color="auto" w:sz="4" w:space="0"/>
              <w:left w:val="nil"/>
              <w:bottom w:val="single" w:color="auto" w:sz="4" w:space="0"/>
              <w:right w:val="single" w:color="auto" w:sz="4" w:space="0"/>
            </w:tcBorders>
            <w:noWrap w:val="0"/>
            <w:vAlign w:val="center"/>
          </w:tcPr>
          <w:p>
            <w:pPr>
              <w:spacing w:line="300" w:lineRule="exact"/>
              <w:rPr>
                <w:rFonts w:hint="eastAsia" w:ascii="宋体" w:hAnsi="宋体" w:cs="宋体"/>
                <w:bCs/>
                <w:color w:val="000000"/>
                <w:kern w:val="0"/>
                <w:sz w:val="20"/>
                <w:szCs w:val="20"/>
              </w:rPr>
            </w:pPr>
            <w:r>
              <w:rPr>
                <w:rFonts w:hint="eastAsia" w:ascii="宋体" w:hAnsi="宋体" w:cs="宋体"/>
                <w:bCs/>
                <w:color w:val="000000"/>
                <w:kern w:val="0"/>
                <w:sz w:val="20"/>
                <w:szCs w:val="20"/>
              </w:rPr>
              <w:t>设区的市、县级人民政府城市绿化行政主管部门</w:t>
            </w:r>
          </w:p>
        </w:tc>
        <w:tc>
          <w:tcPr>
            <w:tcW w:w="200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吉强镇、兴隆镇、平峰镇、将台堡镇、新营乡、偏城乡、硝河乡、西滩乡、马莲乡、什字乡、火石寨乡、王明乡、兴平乡、白崖乡、震湖乡、沙沟乡、田坪乡、红耀乡、马建乡,共19个乡镇</w:t>
            </w:r>
          </w:p>
        </w:tc>
        <w:tc>
          <w:tcPr>
            <w:tcW w:w="410"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bl>
    <w:p>
      <w:pPr>
        <w:pStyle w:val="3"/>
        <w:spacing w:before="312" w:beforeLines="100" w:after="312" w:afterLines="100" w:line="579" w:lineRule="auto"/>
        <w:jc w:val="center"/>
        <w:rPr>
          <w:rFonts w:hint="eastAsia" w:ascii="黑体" w:hAnsi="黑体" w:eastAsia="黑体" w:cs="Times New Roman"/>
          <w:b/>
          <w:color w:val="000000"/>
          <w:sz w:val="32"/>
          <w:szCs w:val="32"/>
        </w:rPr>
      </w:pPr>
      <w:r>
        <w:rPr>
          <w:rFonts w:hint="eastAsia" w:ascii="黑体" w:hAnsi="黑体" w:eastAsia="黑体" w:cs="Times New Roman"/>
          <w:b/>
          <w:color w:val="000000"/>
          <w:sz w:val="32"/>
          <w:szCs w:val="32"/>
        </w:rPr>
        <w:t>二、行政检查（2项）</w:t>
      </w:r>
    </w:p>
    <w:tbl>
      <w:tblPr>
        <w:tblStyle w:val="15"/>
        <w:tblW w:w="14778"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3"/>
        <w:gridCol w:w="8678"/>
        <w:gridCol w:w="1659"/>
        <w:gridCol w:w="1771"/>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blHead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lang w:val="en-US" w:eastAsia="zh-CN"/>
              </w:rPr>
            </w:pPr>
            <w:r>
              <w:rPr>
                <w:rFonts w:hint="eastAsia" w:ascii="方正黑体简体" w:hAnsi="方正黑体简体" w:eastAsia="方正黑体简体" w:cs="方正黑体简体"/>
                <w:bCs/>
                <w:color w:val="000000"/>
                <w:spacing w:val="0"/>
                <w:sz w:val="20"/>
                <w:szCs w:val="20"/>
              </w:rPr>
              <w:t>序号</w:t>
            </w:r>
          </w:p>
        </w:tc>
        <w:tc>
          <w:tcPr>
            <w:tcW w:w="130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职权名称</w:t>
            </w:r>
          </w:p>
        </w:tc>
        <w:tc>
          <w:tcPr>
            <w:tcW w:w="867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设定依据</w:t>
            </w:r>
          </w:p>
        </w:tc>
        <w:tc>
          <w:tcPr>
            <w:tcW w:w="16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原行使层级及部门</w:t>
            </w:r>
          </w:p>
        </w:tc>
        <w:tc>
          <w:tcPr>
            <w:tcW w:w="177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lang w:eastAsia="zh-CN"/>
              </w:rPr>
            </w:pPr>
            <w:r>
              <w:rPr>
                <w:rFonts w:hint="eastAsia" w:ascii="方正黑体简体" w:hAnsi="方正黑体简体" w:eastAsia="方正黑体简体" w:cs="方正黑体简体"/>
                <w:bCs/>
                <w:color w:val="000000"/>
                <w:spacing w:val="0"/>
                <w:sz w:val="20"/>
                <w:szCs w:val="20"/>
                <w:lang w:eastAsia="zh-CN"/>
              </w:rPr>
              <w:t>承接乡镇</w:t>
            </w:r>
          </w:p>
        </w:tc>
        <w:tc>
          <w:tcPr>
            <w:tcW w:w="65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黑体简体" w:hAnsi="方正黑体简体" w:eastAsia="方正黑体简体" w:cs="方正黑体简体"/>
                <w:bCs/>
                <w:color w:val="000000"/>
                <w:spacing w:val="0"/>
                <w:sz w:val="20"/>
                <w:szCs w:val="20"/>
              </w:rPr>
            </w:pPr>
            <w:r>
              <w:rPr>
                <w:rFonts w:hint="eastAsia" w:ascii="方正黑体简体" w:hAnsi="方正黑体简体" w:eastAsia="方正黑体简体" w:cs="方正黑体简体"/>
                <w:bCs/>
                <w:color w:val="000000"/>
                <w:spacing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9"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1</w:t>
            </w:r>
          </w:p>
        </w:tc>
        <w:tc>
          <w:tcPr>
            <w:tcW w:w="1303"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对临时建设和临时用地的监督检查</w:t>
            </w:r>
          </w:p>
        </w:tc>
        <w:tc>
          <w:tcPr>
            <w:tcW w:w="8678"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【地方政府规章】《宁夏回族自治区城镇规划区临时建设和临时用地规划管理办法》（2018年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自治区人民政府令第101号修正）</w:t>
            </w:r>
          </w:p>
          <w:p>
            <w:pPr>
              <w:ind w:firstLine="400" w:firstLineChars="200"/>
              <w:rPr>
                <w:rFonts w:hint="eastAsia" w:ascii="宋体" w:hAnsi="宋体" w:cs="宋体"/>
                <w:color w:val="000000"/>
                <w:sz w:val="20"/>
                <w:szCs w:val="20"/>
              </w:rPr>
            </w:pPr>
            <w:bookmarkStart w:id="0" w:name="4"/>
            <w:r>
              <w:rPr>
                <w:rFonts w:hint="eastAsia" w:ascii="宋体" w:hAnsi="宋体" w:cs="宋体"/>
                <w:color w:val="000000"/>
                <w:sz w:val="20"/>
                <w:szCs w:val="20"/>
              </w:rPr>
              <w:t>第四条</w:t>
            </w:r>
            <w:bookmarkEnd w:id="0"/>
            <w:r>
              <w:rPr>
                <w:rFonts w:hint="eastAsia" w:ascii="宋体" w:hAnsi="宋体" w:cs="宋体"/>
                <w:color w:val="000000"/>
                <w:sz w:val="20"/>
                <w:szCs w:val="20"/>
              </w:rPr>
              <w:t xml:space="preserve"> 市、县（市）城乡规划主管部门负责临时建设和临时用地的规划管理工作。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 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城乡规划主管部门的工作人员履行前款规定的监督检查职责，应当出示行政执法证件。被监督检查的单位和人员应当予以配合，不得妨碍和阻挠依法进行的监督检查。</w:t>
            </w:r>
          </w:p>
        </w:tc>
        <w:tc>
          <w:tcPr>
            <w:tcW w:w="1659"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市、县（市）城乡规划主管部门</w:t>
            </w:r>
          </w:p>
        </w:tc>
        <w:tc>
          <w:tcPr>
            <w:tcW w:w="1771"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lang w:eastAsia="zh-CN"/>
              </w:rPr>
              <w:t>吉强镇、兴隆镇、平峰镇、将台堡镇、新营乡、偏城乡、硝河乡、西滩乡、马莲乡、什字乡、火石寨乡、王明乡、兴平乡、白崖乡、震湖乡、沙沟乡、田坪乡、红耀乡、马建乡,共19个乡镇</w:t>
            </w:r>
          </w:p>
        </w:tc>
        <w:tc>
          <w:tcPr>
            <w:tcW w:w="658"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2</w:t>
            </w:r>
          </w:p>
        </w:tc>
        <w:tc>
          <w:tcPr>
            <w:tcW w:w="1303"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物业管理活动的监督管理</w:t>
            </w:r>
          </w:p>
        </w:tc>
        <w:tc>
          <w:tcPr>
            <w:tcW w:w="8678"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【行政法规】《物业管理条例》（2018年3月国务院令第698号第三次修正）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第五条第一款 国务院建设行政主管部门负责全国物业管理活动的监督管理工作。第二款 县级以上地方人民政府房地产行政主管部门负责本行政区域内物业管理活动的监督管理工作。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【地方性法规】《宁夏回族自治区物业管理条例》（2010年</w:t>
            </w:r>
            <w:r>
              <w:rPr>
                <w:rFonts w:hint="eastAsia" w:ascii="宋体" w:hAnsi="宋体" w:cs="宋体"/>
                <w:color w:val="000000"/>
                <w:sz w:val="20"/>
                <w:szCs w:val="20"/>
                <w:lang w:eastAsia="zh-CN"/>
              </w:rPr>
              <w:t>宁夏回族</w:t>
            </w:r>
            <w:r>
              <w:rPr>
                <w:rFonts w:hint="eastAsia" w:ascii="宋体" w:hAnsi="宋体" w:cs="宋体"/>
                <w:color w:val="000000"/>
                <w:sz w:val="20"/>
                <w:szCs w:val="20"/>
              </w:rPr>
              <w:t>自治区人民代表大会常务委员会公告第81号）</w:t>
            </w:r>
            <w:r>
              <w:rPr>
                <w:rFonts w:hint="eastAsia" w:ascii="宋体" w:hAnsi="宋体" w:cs="宋体"/>
                <w:color w:val="000000"/>
                <w:sz w:val="20"/>
                <w:szCs w:val="20"/>
              </w:rPr>
              <w:br w:type="textWrapping"/>
            </w:r>
            <w:r>
              <w:rPr>
                <w:rFonts w:hint="eastAsia" w:ascii="宋体" w:hAnsi="宋体" w:cs="宋体"/>
                <w:color w:val="000000"/>
                <w:sz w:val="20"/>
                <w:szCs w:val="20"/>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cs="宋体"/>
                <w:color w:val="000000"/>
                <w:sz w:val="20"/>
                <w:szCs w:val="20"/>
              </w:rPr>
              <w:br w:type="textWrapping"/>
            </w:r>
            <w:r>
              <w:rPr>
                <w:rFonts w:hint="eastAsia" w:ascii="宋体" w:hAnsi="宋体" w:cs="宋体"/>
                <w:color w:val="000000"/>
                <w:sz w:val="20"/>
                <w:szCs w:val="20"/>
              </w:rPr>
              <w:t xml:space="preserve">    环保、价格、规划、公安、民政等有关行政主管部门，依据各自职责做好物业管理区域内的相关监督管理工作。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c>
          <w:tcPr>
            <w:tcW w:w="1659"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rPr>
              <w:t>县级以上地方人民政府房地产行政主管部门</w:t>
            </w:r>
          </w:p>
        </w:tc>
        <w:tc>
          <w:tcPr>
            <w:tcW w:w="1771"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 w:val="20"/>
                <w:szCs w:val="20"/>
              </w:rPr>
            </w:pPr>
            <w:r>
              <w:rPr>
                <w:rFonts w:hint="eastAsia" w:ascii="宋体" w:hAnsi="宋体" w:cs="宋体"/>
                <w:color w:val="000000"/>
                <w:sz w:val="20"/>
                <w:szCs w:val="20"/>
                <w:lang w:eastAsia="zh-CN"/>
              </w:rPr>
              <w:t>吉强镇、兴隆镇、平峰镇、将台堡镇、新营乡、偏城乡、硝河乡、西滩乡、马莲乡、什字乡、火石寨乡、王明乡、兴平乡、白崖乡、震湖乡、沙沟乡、田坪乡、红耀乡、马建乡,共19个乡镇</w:t>
            </w:r>
          </w:p>
        </w:tc>
        <w:tc>
          <w:tcPr>
            <w:tcW w:w="658" w:type="dxa"/>
            <w:tcBorders>
              <w:top w:val="single" w:color="auto" w:sz="4" w:space="0"/>
              <w:left w:val="nil"/>
              <w:bottom w:val="single" w:color="auto" w:sz="4" w:space="0"/>
              <w:right w:val="single" w:color="auto" w:sz="4" w:space="0"/>
            </w:tcBorders>
            <w:noWrap w:val="0"/>
            <w:vAlign w:val="center"/>
          </w:tcPr>
          <w:p>
            <w:pPr>
              <w:ind w:firstLine="400" w:firstLineChars="200"/>
              <w:rPr>
                <w:rFonts w:hint="eastAsia" w:ascii="宋体" w:hAnsi="宋体" w:cs="宋体"/>
                <w:color w:val="000000"/>
                <w:sz w:val="20"/>
                <w:szCs w:val="20"/>
              </w:rPr>
            </w:pPr>
          </w:p>
        </w:tc>
      </w:tr>
    </w:tbl>
    <w:p>
      <w:pPr>
        <w:pStyle w:val="9"/>
        <w:numPr>
          <w:ilvl w:val="0"/>
          <w:numId w:val="0"/>
        </w:numPr>
        <w:spacing w:before="624" w:beforeLines="200" w:beforeAutospacing="0" w:after="312" w:afterLines="100" w:line="480" w:lineRule="auto"/>
        <w:ind w:leftChars="0" w:firstLine="5760" w:firstLineChars="1800"/>
        <w:jc w:val="both"/>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行政强制（1项）</w:t>
      </w:r>
    </w:p>
    <w:tbl>
      <w:tblPr>
        <w:tblStyle w:val="15"/>
        <w:tblW w:w="142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18"/>
        <w:gridCol w:w="8228"/>
        <w:gridCol w:w="1462"/>
        <w:gridCol w:w="213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序号</w:t>
            </w:r>
          </w:p>
        </w:tc>
        <w:tc>
          <w:tcPr>
            <w:tcW w:w="11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职权名称</w:t>
            </w:r>
          </w:p>
        </w:tc>
        <w:tc>
          <w:tcPr>
            <w:tcW w:w="82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设定依据</w:t>
            </w:r>
          </w:p>
        </w:tc>
        <w:tc>
          <w:tcPr>
            <w:tcW w:w="14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原行使层级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及部门</w:t>
            </w:r>
          </w:p>
        </w:tc>
        <w:tc>
          <w:tcPr>
            <w:tcW w:w="2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z w:val="20"/>
                <w:szCs w:val="20"/>
                <w:lang w:eastAsia="zh-CN"/>
              </w:rPr>
            </w:pPr>
            <w:r>
              <w:rPr>
                <w:rFonts w:hint="eastAsia" w:ascii="方正黑体简体" w:hAnsi="方正黑体简体" w:eastAsia="方正黑体简体" w:cs="方正黑体简体"/>
                <w:bCs/>
                <w:sz w:val="20"/>
                <w:szCs w:val="20"/>
                <w:lang w:eastAsia="zh-CN"/>
              </w:rPr>
              <w:t>承接乡镇</w:t>
            </w:r>
          </w:p>
        </w:tc>
        <w:tc>
          <w:tcPr>
            <w:tcW w:w="7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2"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pStyle w:val="9"/>
              <w:autoSpaceDE w:val="0"/>
              <w:spacing w:beforeAutospacing="0"/>
              <w:ind w:left="0" w:leftChars="0" w:firstLine="0" w:firstLineChars="0"/>
              <w:jc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1</w:t>
            </w:r>
          </w:p>
        </w:tc>
        <w:tc>
          <w:tcPr>
            <w:tcW w:w="1118" w:type="dxa"/>
            <w:tcBorders>
              <w:top w:val="single" w:color="auto" w:sz="4" w:space="0"/>
              <w:left w:val="nil"/>
              <w:bottom w:val="single" w:color="auto" w:sz="4" w:space="0"/>
              <w:right w:val="single" w:color="auto" w:sz="4" w:space="0"/>
            </w:tcBorders>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代为补种树木</w:t>
            </w:r>
          </w:p>
        </w:tc>
        <w:tc>
          <w:tcPr>
            <w:tcW w:w="8228" w:type="dxa"/>
            <w:tcBorders>
              <w:top w:val="single" w:color="auto" w:sz="4" w:space="0"/>
              <w:left w:val="nil"/>
              <w:bottom w:val="single" w:color="auto" w:sz="4" w:space="0"/>
              <w:right w:val="single" w:color="auto" w:sz="4" w:space="0"/>
            </w:tcBorders>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【法律】《中华人民共和国森林法》(2019年12月中华人民共和国主席令第39号修订)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恢复植被和林业生产条件、树木补种的标准，由省级以上人民政府林业主管部门制定。</w:t>
            </w:r>
          </w:p>
        </w:tc>
        <w:tc>
          <w:tcPr>
            <w:tcW w:w="14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60" w:lineRule="exact"/>
              <w:textAlignment w:val="auto"/>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县级以上人民政府林业主管部门</w:t>
            </w:r>
          </w:p>
        </w:tc>
        <w:tc>
          <w:tcPr>
            <w:tcW w:w="2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60" w:lineRule="exact"/>
              <w:textAlignment w:val="auto"/>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728" w:type="dxa"/>
            <w:tcBorders>
              <w:top w:val="single" w:color="auto" w:sz="4" w:space="0"/>
              <w:left w:val="nil"/>
              <w:bottom w:val="single" w:color="auto" w:sz="4" w:space="0"/>
              <w:right w:val="single" w:color="auto" w:sz="4" w:space="0"/>
            </w:tcBorders>
            <w:noWrap w:val="0"/>
            <w:vAlign w:val="center"/>
          </w:tcPr>
          <w:p>
            <w:pPr>
              <w:autoSpaceDE w:val="0"/>
              <w:rPr>
                <w:rFonts w:hint="eastAsia" w:ascii="宋体" w:hAnsi="宋体" w:eastAsia="楷体_GB2312" w:cs="宋体"/>
                <w:color w:val="000000"/>
                <w:kern w:val="2"/>
                <w:sz w:val="20"/>
                <w:szCs w:val="20"/>
                <w:lang w:val="en-US" w:eastAsia="zh-CN" w:bidi="ar-SA"/>
              </w:rPr>
            </w:pPr>
          </w:p>
        </w:tc>
      </w:tr>
    </w:tbl>
    <w:p>
      <w:pPr>
        <w:pStyle w:val="9"/>
        <w:spacing w:before="624" w:beforeLines="200" w:beforeAutospacing="0" w:after="312" w:afterLines="100" w:line="480" w:lineRule="auto"/>
        <w:ind w:left="0" w:leftChars="0" w:firstLine="0" w:firstLineChars="0"/>
        <w:jc w:val="center"/>
        <w:rPr>
          <w:rFonts w:ascii="黑体" w:hAnsi="黑体" w:eastAsia="黑体" w:cs="黑体"/>
          <w:sz w:val="32"/>
          <w:szCs w:val="32"/>
        </w:rPr>
      </w:pPr>
      <w:r>
        <w:rPr>
          <w:rFonts w:hint="eastAsia" w:ascii="黑体" w:hAnsi="黑体" w:eastAsia="黑体" w:cs="黑体"/>
          <w:sz w:val="36"/>
          <w:szCs w:val="36"/>
        </w:rPr>
        <w:t>四、</w:t>
      </w:r>
      <w:r>
        <w:rPr>
          <w:rFonts w:hint="eastAsia" w:ascii="黑体" w:hAnsi="黑体" w:eastAsia="黑体" w:cs="黑体"/>
          <w:sz w:val="32"/>
          <w:szCs w:val="32"/>
        </w:rPr>
        <w:t>行政给付（11项）</w:t>
      </w:r>
    </w:p>
    <w:tbl>
      <w:tblPr>
        <w:tblStyle w:val="15"/>
        <w:tblW w:w="14972" w:type="dxa"/>
        <w:jc w:val="center"/>
        <w:tblInd w:w="0" w:type="dxa"/>
        <w:tblLayout w:type="fixed"/>
        <w:tblCellMar>
          <w:top w:w="0" w:type="dxa"/>
          <w:left w:w="0" w:type="dxa"/>
          <w:bottom w:w="0" w:type="dxa"/>
          <w:right w:w="0" w:type="dxa"/>
        </w:tblCellMar>
      </w:tblPr>
      <w:tblGrid>
        <w:gridCol w:w="594"/>
        <w:gridCol w:w="975"/>
        <w:gridCol w:w="9615"/>
        <w:gridCol w:w="1230"/>
        <w:gridCol w:w="2061"/>
        <w:gridCol w:w="497"/>
      </w:tblGrid>
      <w:tr>
        <w:tblPrEx>
          <w:tblLayout w:type="fixed"/>
          <w:tblCellMar>
            <w:top w:w="0" w:type="dxa"/>
            <w:left w:w="0" w:type="dxa"/>
            <w:bottom w:w="0" w:type="dxa"/>
            <w:right w:w="0" w:type="dxa"/>
          </w:tblCellMar>
        </w:tblPrEx>
        <w:trPr>
          <w:trHeight w:val="627" w:hRule="atLeast"/>
          <w:tblHeader/>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rPr>
            </w:pPr>
            <w:r>
              <w:rPr>
                <w:rFonts w:hint="eastAsia" w:ascii="方正黑体简体" w:hAnsi="方正黑体简体" w:eastAsia="方正黑体简体" w:cs="方正黑体简体"/>
                <w:color w:val="000000"/>
                <w:sz w:val="20"/>
                <w:szCs w:val="20"/>
              </w:rPr>
              <w:t>序号</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职权名称</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设定依据</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原行使层级</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及部门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承接乡镇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备注</w:t>
            </w:r>
          </w:p>
        </w:tc>
      </w:tr>
      <w:tr>
        <w:tblPrEx>
          <w:tblLayout w:type="fixed"/>
          <w:tblCellMar>
            <w:top w:w="0" w:type="dxa"/>
            <w:left w:w="0" w:type="dxa"/>
            <w:bottom w:w="0" w:type="dxa"/>
            <w:right w:w="0" w:type="dxa"/>
          </w:tblCellMar>
        </w:tblPrEx>
        <w:trPr>
          <w:trHeight w:val="1120"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djustRightInd w:val="0"/>
              <w:snapToGrid w:val="0"/>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老年人福利补贴</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【法律】《中华人民共和国老年人权益保障法》（2018年中华人民共和国主席令第24号修正）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第三十三条第一款 国家建立和完善老年人福利制度，根据经济社会发展水平和老年人的实际需要，增加老年人的社会福利。第二款国家鼓励地方建立八十周岁以上低收入老年人高龄津贴制度。第二款　对生活长期不能自理、经济困难的老年人，地方各级人民政府应当根据其失能程度等情况给予护理补贴。</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县级以上地方各级人民政府民政部门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4185"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djustRightInd w:val="0"/>
              <w:snapToGrid w:val="0"/>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困难残疾人生活补贴</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【规范性文件】《国务院关于全面建立困难残疾人生活补贴和重度残疾人护理补贴制度的意见》（国发〔2015〕52号）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三、申领程序和管理办法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四、保障措施</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县级以上地方人民政府民政部门、残联</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1543"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djustRightInd w:val="0"/>
              <w:snapToGrid w:val="0"/>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重度残疾人护理补贴</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【规范性文件】《国务院关于全面建立困难残疾人生活补贴和重度残疾人护理补贴制度的意见》（国发〔2015〕52号）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二、主要内容</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三、申领程序和管理办法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四、保障措施</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县级以上地方人民政府民政部门、残联</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4998"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djustRightInd w:val="0"/>
              <w:snapToGrid w:val="0"/>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特困人员认定、救助供养金给付</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【行政法规】《社会救助暂行办法》（2019年3月国务院令第709号修订）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第十一条 县级人民政府民政部门经审查，对符合条件的申请予以批准，并在申请人所在村、社区公布；对不符合条件的申请不予批准，并书面向申请人说明理由。</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第十四条 国家对无劳动能力、无生活来源且无法定赡养、抚养、扶养义务人，或者其法定赡养、抚养、扶养义务人无赡养、抚养、扶养能力的老年人、残疾人以及未满16周岁的未成年人，给予特困人员供养。</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第十五条 特困人员供养的内容包括：</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(一)提供基本生活条件；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（二）对生活不能自理的给予照料；</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（三）提供疾病治疗；</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（四）办理丧葬事宜。特困人员供养标准，由省、自治区、直辖市或者设区的市级人民政府确定、公布。</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第十六条第二款 特困人员供养的审批程序适用本办法第十一条规定。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【规范性文件】《国务院关于进一步健全特困人员救助供养制度的意见》（国发〔2016〕14号）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（一）对象范围。城乡老年人、残疾人以及未满16周岁的未成年人，同时具备以下条件的，应当依法纳入特困人员救助供养范围：</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无劳动能力、无生活来源、无法定赡养抚养扶养义务人或者其法定义务人无履行义务能力。具体认定办法由民政部负责制定。</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县级人民政府民政部门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3005"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djustRightInd w:val="0"/>
              <w:snapToGrid w:val="0"/>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对孤儿基本生活保障金的给付</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【规范性文件】《国务院办公厅关于加强孤儿保障工作的意见》（国办发[2010]54号）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一、拓展安置渠道，妥善安置孤儿</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（二）机构养育。对没有亲属和其他监护人抚养的孤儿，经依法公告后由民政部门设立的儿童福利机构收留抚养。</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二、建立健全孤儿保障体系，维护孤儿基本权益。</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县级以上地方人民政府民政部门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2455"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djustRightInd w:val="0"/>
              <w:snapToGrid w:val="0"/>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临时救助对象认定、救助金给付</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【行政法规】《社会救助暂行办法》（2019年3月国务院令第709号修订）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县级以上地方人民政府民政部门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2946"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jc w:val="center"/>
              <w:textAlignment w:val="center"/>
              <w:rPr>
                <w:rFonts w:hint="eastAsia" w:ascii="仿宋_GB2312" w:hAnsi="仿宋_GB2312" w:eastAsia="仿宋_GB2312" w:cs="仿宋_GB2312"/>
                <w:bCs/>
                <w:sz w:val="20"/>
                <w:szCs w:val="20"/>
              </w:rPr>
            </w:pPr>
            <w:r>
              <w:rPr>
                <w:rFonts w:hint="eastAsia" w:ascii="仿宋_GB2312" w:hAnsi="仿宋_GB2312" w:eastAsia="仿宋_GB2312" w:cs="仿宋_GB2312"/>
                <w:bCs/>
                <w:kern w:val="0"/>
                <w:sz w:val="20"/>
                <w:szCs w:val="20"/>
              </w:rPr>
              <w:t>7</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农村居民最低生活保障救助资金的给付</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【行政法规】《社会救助暂行办法》（2019年3月国务院令第709号修订）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第九条 国家对共同生活的家庭成员人均收入低于当地最低生活保障标准，且符合当地最低生活保障家庭财产状况规定的家庭，给予最低生活保障。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第十一条 县级人民政府民政部门经审查，对符合条件的申请予以批准，并在申请人所在村、社区公布；对不符合条件的申请不予批准，并书面向申请人说明理由。</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第十二条 对批准获得最低生活保障的家庭，县级人民政府民政部门按照共同生活的家庭成员人均收入低于当地最低生活保障标准的差额，按月发给最低生活保障金。</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【地方政府规章】《宁夏回族自治区农村居民最低生活保障办法》（2007年宁夏回族自治区政府令第99号）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第四条第一款 县级以上人民政府民政部门具体负责农村最低生活保障工作的组织实施和监督管理工作。</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县级以上地方人民政府民政部门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3025"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pacing w:line="320" w:lineRule="exact"/>
              <w:jc w:val="center"/>
              <w:textAlignment w:val="center"/>
              <w:rPr>
                <w:rFonts w:hint="eastAsia" w:ascii="仿宋_GB2312" w:hAnsi="仿宋_GB2312" w:eastAsia="仿宋_GB2312" w:cs="仿宋_GB2312"/>
                <w:bCs/>
                <w:sz w:val="20"/>
                <w:szCs w:val="20"/>
              </w:rPr>
            </w:pPr>
            <w:r>
              <w:rPr>
                <w:rFonts w:hint="eastAsia" w:ascii="仿宋_GB2312" w:hAnsi="仿宋_GB2312" w:eastAsia="仿宋_GB2312" w:cs="仿宋_GB2312"/>
                <w:bCs/>
                <w:kern w:val="0"/>
                <w:sz w:val="20"/>
                <w:szCs w:val="20"/>
              </w:rPr>
              <w:t>8</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城市居民最低生活保障救助资金的给付</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【行政法规】《社会救助暂行办法》（2019年3月国务院令第709号修订）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第九条 国家对共同生活的家庭成员人均收入低于当地最低生活保障标准，且符合当地最低生活保障家庭财产状况规定的家庭，给予最低生活保障。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第十一条 县级人民政府民政部门经审查，对符合条件的申请予以批准，并在申请人所在村、社区公布；对不符合条件的申请不予批准，并书面向申请人说明理由。</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第十二条 对批准获得最低生活保障的家庭，县级人民政府民政部门按照共同生活的家庭成员人均收入低于当地最低生活保障标准的差额，按月发给最低生活保障金。</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【地方政府规章】《宁夏回族自治区城市居民最低生活保障实施办法》（2003年宁夏回族自治区政府令第54号）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第四条第一款  县级以上人民政府民政部门负责本行政区域内城市居民最低生活保障的管理工作。</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县级以上地方人民政府民政部门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4640"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pacing w:line="320" w:lineRule="exact"/>
              <w:jc w:val="center"/>
              <w:textAlignment w:val="center"/>
              <w:rPr>
                <w:rFonts w:hint="eastAsia" w:ascii="仿宋_GB2312" w:hAnsi="仿宋_GB2312" w:eastAsia="仿宋_GB2312" w:cs="仿宋_GB2312"/>
                <w:bCs/>
                <w:sz w:val="20"/>
                <w:szCs w:val="20"/>
              </w:rPr>
            </w:pPr>
            <w:r>
              <w:rPr>
                <w:rFonts w:hint="eastAsia" w:ascii="仿宋_GB2312" w:hAnsi="仿宋_GB2312" w:eastAsia="仿宋_GB2312" w:cs="仿宋_GB2312"/>
                <w:bCs/>
                <w:kern w:val="0"/>
                <w:sz w:val="20"/>
                <w:szCs w:val="20"/>
              </w:rPr>
              <w:t>9</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农村计划生育家庭少生快富工程奖励金</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【法律法规】《中华人民共和国人口与计划生育法》（2015年12月中华人民共和国主席令第41号修正）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第二十八条 地方各级人民政府对农村实行计划生育的家庭发展经济，给予资金、技术、培训等方面的支持、优惠；对实行计划生育的贫困家庭，在扶贫贷款、以工代赈、扶贫项目和社会救济等方面给予优先照顾。</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【地方性法规】《宁夏回族自治区人口与计划生育条例》（2019年3月宁夏回族自治区人民代表大会常务委员会公告第22号第五次修正）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第三十九条 各级人民政府或者有关部门应当给予农村计划生育家庭以下优待：(二)实施“少生快富”工程，按照国家和自治区的有关规定给予奖励及其他优待。</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【政府规章】《宁夏回族自治区少生快富扶贫工程实施办法》（2019年宁夏回族自治区人民政府令第108号）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第十五条 实施少生快富扶贫工程地区的具有本自治区户籍的农村已婚育龄夫妇有下列情形之一的，可以自愿申请少生快富扶贫工程奖励资金：（一）按照自治区计划生育政策可以生育两个孩子，已生育一个孩子的；（二）按照自治区计划生育政策可以生育三个孩子，已生育一个或者两个孩子的；（三）计划生育纯女户（包括川区已婚育龄夫妇已生育两个女孩的家庭；山区汉族已婚育龄夫妇已生育两个女孩的家庭；山区回族及其他少数民族已婚育龄夫妇已生育三个女孩的家庭）。</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县级以上地方各级人民政府计划生育行政部门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3709"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pacing w:line="320" w:lineRule="exact"/>
              <w:jc w:val="center"/>
              <w:textAlignment w:val="center"/>
              <w:rPr>
                <w:rFonts w:hint="eastAsia" w:ascii="仿宋_GB2312" w:hAnsi="仿宋_GB2312" w:eastAsia="仿宋_GB2312" w:cs="仿宋_GB2312"/>
                <w:bCs/>
                <w:sz w:val="20"/>
                <w:szCs w:val="20"/>
              </w:rPr>
            </w:pPr>
            <w:r>
              <w:rPr>
                <w:rFonts w:hint="eastAsia" w:ascii="仿宋_GB2312" w:hAnsi="仿宋_GB2312" w:eastAsia="仿宋_GB2312" w:cs="仿宋_GB2312"/>
                <w:bCs/>
                <w:kern w:val="0"/>
                <w:sz w:val="20"/>
                <w:szCs w:val="20"/>
              </w:rPr>
              <w:t>10</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计划生育家庭特别扶助金</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【法律】《中华人民共和国人口与计划生育法》（2015年12月中华人民共和国主席令第41号修正）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【地方性法规】《宁夏回族自治区人口与计划生育条例》（2019年3月宁夏回族自治区人民代表大会常务委员会公告第22号第五次修正）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第四十条 在国家提倡一对夫妻生育一个子女期间，领取《独生子女父母光荣证》的家庭，子女死亡或者残疾（残疾达到三级以上），不再生育或者收养子女的，享受国家和自治区的计划生育家庭特别扶助金。</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县级以上地方各级人民政府计划生育行政部门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r>
        <w:tblPrEx>
          <w:tblLayout w:type="fixed"/>
          <w:tblCellMar>
            <w:top w:w="0" w:type="dxa"/>
            <w:left w:w="0" w:type="dxa"/>
            <w:bottom w:w="0" w:type="dxa"/>
            <w:right w:w="0" w:type="dxa"/>
          </w:tblCellMar>
        </w:tblPrEx>
        <w:trPr>
          <w:trHeight w:val="7511" w:hRule="atLeast"/>
          <w:jc w:val="center"/>
        </w:trPr>
        <w:tc>
          <w:tcPr>
            <w:tcW w:w="594"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spacing w:line="320" w:lineRule="exact"/>
              <w:jc w:val="center"/>
              <w:textAlignment w:val="center"/>
              <w:rPr>
                <w:rFonts w:hint="eastAsia" w:ascii="仿宋_GB2312" w:hAnsi="仿宋_GB2312" w:eastAsia="仿宋_GB2312" w:cs="仿宋_GB2312"/>
                <w:bCs/>
                <w:sz w:val="20"/>
                <w:szCs w:val="20"/>
              </w:rPr>
            </w:pPr>
            <w:r>
              <w:rPr>
                <w:rFonts w:hint="eastAsia" w:ascii="仿宋_GB2312" w:hAnsi="仿宋_GB2312" w:eastAsia="仿宋_GB2312" w:cs="仿宋_GB2312"/>
                <w:bCs/>
                <w:kern w:val="0"/>
                <w:sz w:val="20"/>
                <w:szCs w:val="20"/>
              </w:rPr>
              <w:t>11</w:t>
            </w:r>
          </w:p>
        </w:tc>
        <w:tc>
          <w:tcPr>
            <w:tcW w:w="97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农村部分计划生育家庭奖励扶助金</w:t>
            </w:r>
          </w:p>
        </w:tc>
        <w:tc>
          <w:tcPr>
            <w:tcW w:w="9615"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【法律】《中华人民共和国人口与计划生育法》（2015年12月中华人民共和国主席令第41号修正）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【地方性法规】《宁夏回族自治区人口与计划生育条例》（2019年宁夏回族自治区人民代表大会常务委员会第11次会议第五次修正）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第三十九条 各级人民政府或者有关部门应当给予农村计划生育家庭以下优待：(一)在国家提倡一对夫妻生育一个子女期间，只有一个子女或者两个女孩的农村计划生育家庭，夫妇年满六十周岁以后，享受农村计划生育家庭奖励扶助，直至亡故。</w:t>
            </w:r>
          </w:p>
        </w:tc>
        <w:tc>
          <w:tcPr>
            <w:tcW w:w="1230"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县级以上地方各级人民政府计划生育行政部门</w:t>
            </w:r>
          </w:p>
        </w:tc>
        <w:tc>
          <w:tcPr>
            <w:tcW w:w="2061"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97" w:type="dxa"/>
            <w:tcBorders>
              <w:top w:val="single" w:color="000000" w:sz="4" w:space="0"/>
              <w:left w:val="single" w:color="000000" w:sz="4" w:space="0"/>
              <w:bottom w:val="single" w:color="000000" w:sz="4" w:space="0"/>
              <w:right w:val="single" w:color="000000" w:sz="4" w:space="0"/>
            </w:tcBorders>
            <w:noWrap w:val="0"/>
            <w:tcMar>
              <w:top w:w="0" w:type="dxa"/>
              <w:left w:w="108" w:type="dxa"/>
              <w:right w:w="108" w:type="dxa"/>
            </w:tcMar>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资金支付渠道不变</w:t>
            </w:r>
          </w:p>
        </w:tc>
      </w:tr>
    </w:tbl>
    <w:p>
      <w:pPr>
        <w:pStyle w:val="3"/>
        <w:spacing w:before="624" w:beforeLines="200" w:after="312" w:afterLines="100" w:line="360" w:lineRule="exact"/>
        <w:jc w:val="both"/>
        <w:rPr>
          <w:rFonts w:hint="eastAsia" w:ascii="黑体" w:hAnsi="黑体" w:eastAsia="黑体"/>
          <w:b w:val="0"/>
          <w:bCs w:val="0"/>
          <w:color w:val="000000"/>
          <w:sz w:val="36"/>
          <w:szCs w:val="36"/>
        </w:rPr>
      </w:pPr>
    </w:p>
    <w:p>
      <w:pPr>
        <w:pStyle w:val="3"/>
        <w:spacing w:before="624" w:beforeLines="200" w:after="312" w:afterLines="100" w:line="360" w:lineRule="exact"/>
        <w:jc w:val="center"/>
        <w:rPr>
          <w:rFonts w:ascii="黑体" w:hAnsi="黑体" w:eastAsia="黑体"/>
          <w:b w:val="0"/>
          <w:bCs w:val="0"/>
          <w:color w:val="000000"/>
          <w:sz w:val="36"/>
          <w:szCs w:val="36"/>
        </w:rPr>
      </w:pPr>
      <w:r>
        <w:rPr>
          <w:rFonts w:hint="eastAsia" w:ascii="黑体" w:hAnsi="黑体" w:eastAsia="黑体"/>
          <w:b w:val="0"/>
          <w:bCs w:val="0"/>
          <w:color w:val="000000"/>
          <w:sz w:val="36"/>
          <w:szCs w:val="36"/>
        </w:rPr>
        <w:t>五</w:t>
      </w:r>
      <w:r>
        <w:rPr>
          <w:rFonts w:ascii="黑体" w:hAnsi="黑体" w:eastAsia="黑体"/>
          <w:b w:val="0"/>
          <w:bCs w:val="0"/>
          <w:color w:val="000000"/>
          <w:sz w:val="36"/>
          <w:szCs w:val="36"/>
        </w:rPr>
        <w:t>、</w:t>
      </w:r>
      <w:r>
        <w:rPr>
          <w:rFonts w:hint="eastAsia" w:ascii="方正黑体简体" w:hAnsi="方正黑体简体" w:eastAsia="方正黑体简体" w:cs="方正黑体简体"/>
          <w:b w:val="0"/>
          <w:bCs w:val="0"/>
          <w:color w:val="000000"/>
          <w:sz w:val="32"/>
          <w:szCs w:val="32"/>
        </w:rPr>
        <w:t>公共服务（24项）</w:t>
      </w:r>
    </w:p>
    <w:tbl>
      <w:tblPr>
        <w:tblStyle w:val="15"/>
        <w:tblW w:w="15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137"/>
        <w:gridCol w:w="9869"/>
        <w:gridCol w:w="1125"/>
        <w:gridCol w:w="1996"/>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blHeader/>
          <w:jc w:val="center"/>
        </w:trPr>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rPr>
            </w:pPr>
            <w:r>
              <w:rPr>
                <w:rFonts w:hint="eastAsia" w:ascii="方正黑体简体" w:hAnsi="方正黑体简体" w:eastAsia="方正黑体简体" w:cs="方正黑体简体"/>
                <w:color w:val="000000"/>
                <w:sz w:val="20"/>
                <w:szCs w:val="20"/>
              </w:rPr>
              <w:t>序号</w:t>
            </w:r>
          </w:p>
        </w:tc>
        <w:tc>
          <w:tcPr>
            <w:tcW w:w="113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职权名称</w:t>
            </w:r>
          </w:p>
        </w:tc>
        <w:tc>
          <w:tcPr>
            <w:tcW w:w="986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设定依据</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原行使层级及部门</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lang w:val="en-US" w:eastAsia="zh-CN"/>
              </w:rPr>
            </w:pPr>
            <w:r>
              <w:rPr>
                <w:rFonts w:hint="eastAsia" w:ascii="方正黑体简体" w:hAnsi="方正黑体简体" w:eastAsia="方正黑体简体" w:cs="方正黑体简体"/>
                <w:color w:val="000000"/>
                <w:sz w:val="20"/>
                <w:szCs w:val="20"/>
                <w:lang w:val="en-US" w:eastAsia="zh-CN"/>
              </w:rPr>
              <w:t>承接乡镇</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sz w:val="20"/>
                <w:szCs w:val="20"/>
              </w:rPr>
            </w:pPr>
            <w:r>
              <w:rPr>
                <w:rFonts w:hint="eastAsia" w:ascii="方正黑体简体" w:hAnsi="方正黑体简体" w:eastAsia="方正黑体简体" w:cs="方正黑体简体"/>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参加社会保险人员领取死亡待遇申报</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第二十一条 新型农村社会养老保险待遇由基础养老金和个人账户养老金组成。参加新型农村社会养老保险的农村居民，符合国家规定条件的，按月领取新型农村社会养老保险待遇。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【规范性文件】《国务院关于建立统一的城乡居民基本养老保险制度的意见》（国发〔2014〕8号）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 xml:space="preserve">七、养老保险待遇领取条件   </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第一条 参加城乡居民养老保险的个人，年满60周岁、累计缴费满15年，且未领取国家规定的基本养老保障待遇的，可以按月领取城乡居民养老保险待遇。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【规范性文件】《关于印发城乡居民基本养老保险经办规程的通知》（人社部发〔2014〕23号）</w:t>
            </w:r>
            <w:bookmarkStart w:id="1" w:name="37"/>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第三十二条</w:t>
            </w:r>
            <w:bookmarkEnd w:id="1"/>
            <w:r>
              <w:rPr>
                <w:rFonts w:hint="eastAsia" w:ascii="宋体" w:hAnsi="宋体" w:eastAsia="楷体_GB2312" w:cs="宋体"/>
                <w:color w:val="000000"/>
                <w:kern w:val="2"/>
                <w:sz w:val="20"/>
                <w:szCs w:val="20"/>
                <w:lang w:val="en-US" w:eastAsia="zh-CN" w:bidi="ar-SA"/>
              </w:rPr>
              <w:t xml:space="preserve">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县级以上地方人民政府社会保险行政部门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参加养老保险人员定期领取待遇资格申报（仅限城乡居民）</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第七条第二款 县级以上地方人民政府社会保险行政部门负责本行政区域的社会保险管理工作，县级以上地方人民政府其他有关部门在各自的职责范围内负责有关的社会保险工作。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第二十一条 新型农村社会养老保险待遇由基础养老金和个人账户养老金组成。参加新型农村社会养老保险的农村居民，符合国家规定条件的，按月领取新型农村社会养老保险待遇。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【规范性文件】《国务院关于建立统一的城乡居民基本养老保险制度的意见》（国发〔2014〕8号）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七、养老保险待遇领取条件：第一条参加城乡居民养老保险的个人，年满60周岁、累计缴费满15年，且未领取国家规定的基本养老保障待遇的，可以按月领取城乡居民养老保险待遇。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【部门规章】《实施〈中华人民共和国社会保险法〉若干规定》（中华人民共和国人力资源和社会保障部令第13号）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【规范性文件】《关于印发城乡居民基本养老保险经办规程的通知》（人社部发〔2014〕23号）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第二十四条 参保人员从符合待遇领取条件的次月起开始享受城乡居民养老保险待遇。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第二十六条 参保人员应携带户口簿、居民身份证原件和复印件等材料，到户口所在地村(居)委会办理待遇领取手续，在《通知表》上签字、签章或留指纹确认。村(居)协办员负责检查参保人员提供的材料是否齐全，并于每月规定时限内将相关材料一并上报乡镇(街道)事务所。参保人员也可直接到乡镇(街道)事务所或县社保机构办理待遇领取手续。</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县级以上地方人民政府社会保险行政部门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城镇职工基本养老保险与城乡居民基本养老保险制度衔接申请（仅限城乡居民以及灵活就业人员）</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第七条第二款 县级以上地方人民政府社会保险行政部门负责本行政区域的社会保险管理工作，县级以上地方人民政府其他有关部门在各自的职责范围内负责有关的社会保险工作。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第十六条第二款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【规范性文件】《城镇企业职工基本养老保险关系转移接续暂行办法》（国办发〔2009〕66号）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第九条第一款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【部门规章】《实施〈中华人民共和国社会保险法〉若干规定》（人力资源和社会保障令第13号）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【规范性文件】《关于印发〈城乡养老保险制度衔接暂行办法〉的通知》（人社部发〔2014〕17号）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第三条 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【规范性文件】《关于贯彻实施〈城乡养老保险制度衔接暂行办法〉有关问题的通知》（人社厅发〔2014〕25号）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《城乡养老保险制度衔接经办规程(试行)》第四条 参保人员达到城镇职工养老保险法定退休年龄，如有分别参加城镇职工养老保险、城乡居民养老保险情形，在申请领取养老保险待遇前，向待遇领取地社保机构申请办理城乡养老保险制度衔接手续……”</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县级以上地方人民社会保险行政部门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0" w:hRule="atLeast"/>
          <w:jc w:val="center"/>
        </w:trPr>
        <w:tc>
          <w:tcPr>
            <w:tcW w:w="606" w:type="dxa"/>
            <w:noWrap w:val="0"/>
            <w:vAlign w:val="center"/>
          </w:tcPr>
          <w:p>
            <w:pPr>
              <w:pStyle w:val="17"/>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城乡居民特殊人员申报</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第七条第二款 县级以上地方人民政府社会保险行政部门负责本行政区域的社会保险管理工作，县级以上地方人民政府其他有关部门在各自的职责范围内负责有关的社会保险工作。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第八条 社会保险经办机构提供社会保险服务，负责社会保险登记、个人权益记录、社会保险待遇支付工作。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【法律】《中华人民共和国劳动法》（2018年12月中华人民共和国主席令第24号第二次修正）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第七十条 国家发展社会保险事业，建立社会保险制度，设立社会保险基金，使劳动者在年老、患病、工伤、失业、生育等情况下获得帮助和补偿。</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第七十三条 劳动者在下列情况下，依法享受社会保险待遇:(一)退休；（二）患病、负伤；(三)因工伤残或者患职业病；（四）失业；（五）生育。</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劳动者死亡后，其遗属依法享受遗属津贴。</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劳动者享受社会保险待遇的条件和标准由法律、法规规定。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劳动者享受的社会保险金必须按时足额支付。</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县级以上地方人民政府社会保险行政部门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8"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居民养老保险注销登记</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【规范性文件】《国务院关于建立统一的城乡居民基本养老保险制度的意见》（国发〔2014〕8号）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七、养老保险待遇领取条件：城乡居民养老保险待遇领取人员死亡的，从次月起停止支付其养老金。</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【规范性文件】《关于印发城乡居民基本养老保险经办规程的通知》（人社部发〔2014〕23号）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县级以上地方人民政府社会保险行政部门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5"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暂停养老保险待遇申请</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【行政法规】《国务院关于安置老弱病残干部的暂行办法》（国发〔1978〕104号）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第五条第一款 干部退休以后，每月按下列标准发给退休费，直至去世为止。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【行政法规】《国务院关于工人退休、退职的暂行办法》（国发[1978]104号）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第二条第一款 工人退休以后，每月按下列标准发给退休费，直至去世为止。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《关于退休人员被判刑后有关养老保险待遇问题的复函》（劳社厅函〔2001〕44号）全文。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《关于对劳社厅函〔2001〕44号补充说明的函》（劳社厅函〔2003〕315号）全文。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《关于因失踪被人民法院宣告死亡的离退休人员养老待遇问题的函》(人社厅函〔2010〕159号)全文。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《关于印发城乡居民基本养老保险经办规程的通知》（人社部发〔2014〕23号）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第三十一条 待遇领取人员在领取养老金期间服刑的，县社保机构停止为其发放养老保险待遇。待服刑期满后，由本人提出待遇领取申请，社保机构于其服刑期满后的次月为其继续发放养老保险待遇，停发期间的待遇不予补发。</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第三十二条第一款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《关于印发〈机关事业单位工作人员基本养老保险经办规程〉的通知》（人社部发〔2015〕32号）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第四十九条 社保经办机构应通过资格认证工作，不断完善退休人员信息管理，对发生变更的及时予以调整并根据资格认证结果进行如下处理：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（二）退休人员在规定期限内未认证的，社保经办机构应暂停发放基本养老金。退休人员重新通过资格认证后，从次月恢复发放并补发暂停发放月份的基本养老金。</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（三）退休人员失踪、被判刑、死亡等不符合领取资格的，社保经办机构应暂停或终止发放基本养老金，对多发的养老金应予以追回。</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县级以上地方人民政府社会保险行政部门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606" w:type="dxa"/>
            <w:noWrap w:val="0"/>
            <w:vAlign w:val="center"/>
          </w:tcPr>
          <w:p>
            <w:pPr>
              <w:pStyle w:val="17"/>
              <w:spacing w:line="29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恢复养老保险待遇申请</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第七条第二款 县级以上地方人民政府社会保险行政部门负责本行政区域的社会保险管理工作，县级以上地方人民政府其他有关部门在各自的职责范围内负责有关的社会保险工作。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1.《关于退休职工下落不明期间待遇问题的批复》（劳办险字〔1990〕1号）全文。2.《关于退休人员被判刑后有关养老保险待遇问题的复函》（劳社厅函〔2001〕44号）全文。3.《关于对劳社厅函〔2001〕44号补充说明的函》（劳社厅函〔2003〕315号）全文。4.《关于因失踪被人民法院宣告死亡的离退休人员养老待遇问题的函》(人社厅函〔2010〕159号)全文。5.《关于印发城乡居民基本养老保险经办规程的通知》（人社部发〔2014〕23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第三十一条 待遇领取人员在领取养老金期间服刑的，县社保机构停止为其发放养老保险待遇。待服刑期满后，由本人提出待遇领取申请，社保机构于其服刑期满后的次月为其继续发放养老保险待遇，停发期间的待遇不予补发。</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《关于印发〈机关事业单位工作人员基本养老保险经办规程〉的通知》（人社部发〔2015〕32号）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第四十九条 社保经办机构应通过资格认证工作，不断完善退休人员信息管理，对发生变更的及时予以调整并根据资格认证结果进行如下处理：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（二）退休人员在规定期限内未认证的，社保经办机构应暂停发放基本养老金。退休人员重新通过资格认证后，从次月恢复发放并补发暂停发放月份的基本养老金。</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县级以上地方人民政府社会保险行政部门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6" w:type="dxa"/>
            <w:noWrap w:val="0"/>
            <w:vAlign w:val="center"/>
          </w:tcPr>
          <w:p>
            <w:pPr>
              <w:pStyle w:val="17"/>
              <w:spacing w:line="29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城乡居民养老保险参保登记</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第七条第二款 县级以上地方人民政府社会保险行政部门负责本行政区域的社会保险管理工作，县级以上地方人民政府其他有关部门在各自的职责范围内负责有关的社会保险工作。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第二十条 国家建立和完善新型农村社会养老保险制度。新型农村社会养老保险实行个人缴费、集体补助和政府补贴相结合。</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第二十二条 国家建立和完善城镇居民社会养老保险制度。省、自治区、直辖市人民政府根据实际情况，可以将城镇居民社会养老保险和新型农村社会养老保险合并实施。</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【规范性文件】《国务院关于建立统一的城乡居民基本养老保险制度的意见》（国发〔2014〕8号）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三、参保范围：年满16周岁（不含在校学生），非国家机关和事业单位工作人员及不属于职工基本养老保险制度覆盖范围的城乡居民，可以在户籍地参加城乡居民养老保险。</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【规范性文件】《关于印发城乡居民基本养老保险经办规程的通知》（人社部发〔2014〕23号）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第六条 符合城乡居民养老保险参保条件的城乡居民，需携带户口簿和居民身份证原件及复印件（重度残疾人等困难群体应同时提供相关证明材料原件和复印件），到户籍所在地村（居）委会提出参保申请。</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县级以上地方人民政府社会保险行政部门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7" w:hRule="atLeast"/>
          <w:jc w:val="center"/>
        </w:trPr>
        <w:tc>
          <w:tcPr>
            <w:tcW w:w="606" w:type="dxa"/>
            <w:noWrap w:val="0"/>
            <w:vAlign w:val="center"/>
          </w:tcPr>
          <w:p>
            <w:pPr>
              <w:pStyle w:val="17"/>
              <w:spacing w:line="28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以个人身份参加社会保险登记（灵活就业）</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【法律】《中华人民共和国社会保险法》（2018年12月中华人民共和国主席令第25号修正）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第七条第二款 县级以上地方人民政府社会保险行政部门负责本行政区域的社会保险管理工作，县级以上地方人民政府其他有关部门在各自的职责范围内负责有关的社会保险工作。</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县级以上地方人民政府社会保险行政部门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6" w:hRule="atLeast"/>
          <w:jc w:val="center"/>
        </w:trPr>
        <w:tc>
          <w:tcPr>
            <w:tcW w:w="606" w:type="dxa"/>
            <w:noWrap w:val="0"/>
            <w:vAlign w:val="center"/>
          </w:tcPr>
          <w:p>
            <w:pPr>
              <w:pStyle w:val="17"/>
              <w:spacing w:line="28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失业登记</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【法律】《中华人民共和国就业促进法》（2015年4月中华人民共和国主席令第24号修正）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第三十五条 县级以上人民政府建立健全公共就业服务体系，设立公共就业服务机构，为劳动者免费提供下列服务：（五）办理就业登记、失业登记等事务。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【部门规章】《就业服务与就业管理规定》（2018年人力资源和社会保障部令第24号修订）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第二十五条 公共就业服务机构应当免费为劳动者提供以下服务：（五）办理就业登记、失业登记等事务。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1.《关于进一步加强公共就业服务体系建设的指导意见》（人社部发〔2009〕116号）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六、各级公共就业服务机构应全面执行公共就业服务各项制度，包括免费服务制度、统筹管理制度、就业与失业登记管理制度、就业援助制度和专项服务制度等。</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2.《关于印发就业失业登记证管理暂行办法的通知》（人社部发〔2010〕75号）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四、做好信息系统完善和信息上报工作（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3.《关于进一步完善公共就业服务体系有关问题的通知》（人社部发〔2012〕103号）</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四、提升公共就业服务水平（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4.《关于进一步完善就业失业登记管理办法的通知》（人社部发〔2014〕97号）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一、认真落实放宽失业登记条件的有关要求各地要落实《</w:t>
            </w:r>
            <w:r>
              <w:rPr>
                <w:rFonts w:hint="eastAsia" w:ascii="宋体" w:hAnsi="宋体" w:eastAsia="楷体_GB2312" w:cs="宋体"/>
                <w:color w:val="000000"/>
                <w:kern w:val="2"/>
                <w:sz w:val="20"/>
                <w:szCs w:val="20"/>
                <w:lang w:val="en-US" w:eastAsia="zh-CN" w:bidi="ar-SA"/>
              </w:rPr>
              <w:fldChar w:fldCharType="begin"/>
            </w:r>
            <w:r>
              <w:rPr>
                <w:rFonts w:hint="eastAsia" w:ascii="宋体" w:hAnsi="宋体" w:eastAsia="楷体_GB2312" w:cs="宋体"/>
                <w:color w:val="000000"/>
                <w:kern w:val="2"/>
                <w:sz w:val="20"/>
                <w:szCs w:val="20"/>
                <w:lang w:val="en-US" w:eastAsia="zh-CN" w:bidi="ar-SA"/>
              </w:rPr>
              <w:instrText xml:space="preserve"> HYPERLINK "http://conac.pkulaw.cn/javascript:SLC(240634,0)" </w:instrText>
            </w:r>
            <w:r>
              <w:rPr>
                <w:rFonts w:hint="eastAsia" w:ascii="宋体" w:hAnsi="宋体" w:eastAsia="楷体_GB2312" w:cs="宋体"/>
                <w:color w:val="000000"/>
                <w:kern w:val="2"/>
                <w:sz w:val="20"/>
                <w:szCs w:val="20"/>
                <w:lang w:val="en-US" w:eastAsia="zh-CN" w:bidi="ar-SA"/>
              </w:rPr>
              <w:fldChar w:fldCharType="separate"/>
            </w:r>
            <w:r>
              <w:rPr>
                <w:rFonts w:hint="eastAsia" w:ascii="宋体" w:hAnsi="宋体" w:eastAsia="楷体_GB2312" w:cs="宋体"/>
                <w:color w:val="000000"/>
                <w:kern w:val="2"/>
                <w:sz w:val="20"/>
                <w:szCs w:val="20"/>
                <w:lang w:val="en-US" w:eastAsia="zh-CN" w:bidi="ar-SA"/>
              </w:rPr>
              <w:t>人力资源社会保障部关于修改〈就业服务与就业管理规定〉的决定</w:t>
            </w:r>
            <w:r>
              <w:rPr>
                <w:rFonts w:hint="eastAsia" w:ascii="宋体" w:hAnsi="宋体" w:eastAsia="楷体_GB2312" w:cs="宋体"/>
                <w:color w:val="000000"/>
                <w:kern w:val="2"/>
                <w:sz w:val="20"/>
                <w:szCs w:val="20"/>
                <w:lang w:val="en-US" w:eastAsia="zh-CN" w:bidi="ar-SA"/>
              </w:rPr>
              <w:fldChar w:fldCharType="end"/>
            </w:r>
            <w:r>
              <w:rPr>
                <w:rFonts w:hint="eastAsia" w:ascii="宋体" w:hAnsi="宋体" w:eastAsia="楷体_GB2312" w:cs="宋体"/>
                <w:color w:val="000000"/>
                <w:kern w:val="2"/>
                <w:sz w:val="20"/>
                <w:szCs w:val="20"/>
                <w:lang w:val="en-US" w:eastAsia="zh-CN" w:bidi="ar-SA"/>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县级以上人民政府公共就业服务机构</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9"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灵活就业人员就业登记</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【法律】《中华人民共和国就业促进法》（2015年中华人民共和国主席令第24号修正）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 第三十五条 县级以上人民政府建立健全公共就业服务体系，设立公共就业服务机构，为劳动者免费提供下列服务；（五）办理就业登记、失业登记等事务；（六）其他公共就业服务。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【部门规章】《就业服务与就业管理规定》（2018年人力资源和社会保障部令第24号修订）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第二十五条 公共就业服务机构应当免费为劳动者提供以下服务：（五）办理就业登记、失业登记等事务。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1.《关于进一步加强公共就业服务体系建设的指导意见》（人社部发〔2009〕116号）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六、各级公共就业服务机构应全面执行公共就业服务各项制度，包括免费服务制度、统筹管理制度、就业与失业登记管理制度、就业援助制度和专项服务制度等。</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2.《关于印发就业失业登记证管理暂行办法的通知》（人社部发〔2010〕75号）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各地要根据本《暂行办法》的有关规定，完善本地公共就业人才服务管理信息系统，准确记录劳动者就业登记、失业登记和享受就业扶持政策等相关信息，并支持在《就业失业登记证》上直接打印相关记录。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3.《关于进一步完善公共就业服务体系有关问题的通知》（人社部发〔2012〕103号）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4.《关于进一步完善就业失业登记管理办法的通知》（人社部发〔2014〕97号）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一、认真落实放宽失业登记条件的有关要求。各地要落实《</w:t>
            </w:r>
            <w:r>
              <w:rPr>
                <w:rFonts w:hint="eastAsia" w:ascii="宋体" w:hAnsi="宋体" w:eastAsia="楷体_GB2312" w:cs="宋体"/>
                <w:color w:val="000000"/>
                <w:kern w:val="2"/>
                <w:sz w:val="20"/>
                <w:szCs w:val="20"/>
                <w:lang w:val="en-US" w:eastAsia="zh-CN" w:bidi="ar-SA"/>
              </w:rPr>
              <w:fldChar w:fldCharType="begin"/>
            </w:r>
            <w:r>
              <w:rPr>
                <w:rFonts w:hint="eastAsia" w:ascii="宋体" w:hAnsi="宋体" w:eastAsia="楷体_GB2312" w:cs="宋体"/>
                <w:color w:val="000000"/>
                <w:kern w:val="2"/>
                <w:sz w:val="20"/>
                <w:szCs w:val="20"/>
                <w:lang w:val="en-US" w:eastAsia="zh-CN" w:bidi="ar-SA"/>
              </w:rPr>
              <w:instrText xml:space="preserve"> HYPERLINK "http://conac.pkulaw.cn/javascript:SLC(240634,0)" </w:instrText>
            </w:r>
            <w:r>
              <w:rPr>
                <w:rFonts w:hint="eastAsia" w:ascii="宋体" w:hAnsi="宋体" w:eastAsia="楷体_GB2312" w:cs="宋体"/>
                <w:color w:val="000000"/>
                <w:kern w:val="2"/>
                <w:sz w:val="20"/>
                <w:szCs w:val="20"/>
                <w:lang w:val="en-US" w:eastAsia="zh-CN" w:bidi="ar-SA"/>
              </w:rPr>
              <w:fldChar w:fldCharType="separate"/>
            </w:r>
            <w:r>
              <w:rPr>
                <w:rFonts w:hint="eastAsia" w:ascii="宋体" w:hAnsi="宋体" w:eastAsia="楷体_GB2312" w:cs="宋体"/>
                <w:color w:val="000000"/>
                <w:kern w:val="2"/>
                <w:sz w:val="20"/>
                <w:szCs w:val="20"/>
                <w:lang w:val="en-US" w:eastAsia="zh-CN" w:bidi="ar-SA"/>
              </w:rPr>
              <w:t>人力资源社会保障部关于修改〈就业服务与就业管理规定〉的决定</w:t>
            </w:r>
            <w:r>
              <w:rPr>
                <w:rFonts w:hint="eastAsia" w:ascii="宋体" w:hAnsi="宋体" w:eastAsia="楷体_GB2312" w:cs="宋体"/>
                <w:color w:val="000000"/>
                <w:kern w:val="2"/>
                <w:sz w:val="20"/>
                <w:szCs w:val="20"/>
                <w:lang w:val="en-US" w:eastAsia="zh-CN" w:bidi="ar-SA"/>
              </w:rPr>
              <w:fldChar w:fldCharType="end"/>
            </w:r>
            <w:r>
              <w:rPr>
                <w:rFonts w:hint="eastAsia" w:ascii="宋体" w:hAnsi="宋体" w:eastAsia="楷体_GB2312" w:cs="宋体"/>
                <w:color w:val="000000"/>
                <w:kern w:val="2"/>
                <w:sz w:val="20"/>
                <w:szCs w:val="20"/>
                <w:lang w:val="en-US" w:eastAsia="zh-CN" w:bidi="ar-SA"/>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三、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县级以上人民政府公共就业服务机构</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0" w:hRule="atLeast"/>
          <w:jc w:val="center"/>
        </w:trPr>
        <w:tc>
          <w:tcPr>
            <w:tcW w:w="606" w:type="dxa"/>
            <w:noWrap w:val="0"/>
            <w:vAlign w:val="center"/>
          </w:tcPr>
          <w:p>
            <w:pPr>
              <w:pStyle w:val="17"/>
              <w:spacing w:line="29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单位招用人员就业登记</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【法律】《中华人民共和国就业促进法》（2015年4月中华人民共和国主席令第24号修正）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第三十五条 县级以上人民政府建立健全公共就业服务体系，设立公共就业服务机构，为劳动者免费提供下列服务：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（五）办理就业登记、失业登记等事务。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【部门规章】《就业服务与就业管理规定》（2018修订）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第二十五条 公共就业服务机构应当免费为劳动者提供以下服务：（五）办理就业登记、失业登记等事务。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1.《关于进一步加强公共就业服务体系建设的指导意见》（人社部发〔2009〕116号）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六、各级公共就业服务机构应全面执行公共就业服务各项制度，包括免费服务制度、统筹管理制度、就业与失业登记管理制度、就业援助制度和专项服务制度等。</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2.《关于印发就业失业登记证管理暂行办法的通知》（人社部发〔2010〕75号）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3.《关于进一步完善公共就业服务体系有关问题的通知》（人社部发〔2012〕103号）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4.《关于进一步完善就业失业登记管理办法的通知》（人社部发〔2014〕97号）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县级以上人民政府公共就业服务机构</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6" w:type="dxa"/>
            <w:noWrap w:val="0"/>
            <w:vAlign w:val="center"/>
          </w:tcPr>
          <w:p>
            <w:pPr>
              <w:pStyle w:val="17"/>
              <w:spacing w:line="29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个体经营人员就业登记</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【法律】《中华人民共和国就业促进法》（2015年4月中华人民共和国主席令第24号修正）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第三十五条 县级以上人民政府建立健全公共就业服务体系，设立公共就业服务机构，为劳动者免费提供下列服务：（五）办理就业登记、失业登记等事务。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【部门规章】《就业服务与就业管理规定》（2018修订）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第二十五条 公共就业服务机构应当免费为劳动者提供以下服务：（五）办理就业登记、失业登记等事务。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1.《关于进一步加强公共就业服务体系建设的指导意见》（人社部发〔2009〕116号）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六、各级公共就业服务机构应全面执行公共就业服务各项制度，包括免费服务制度、统筹管理制度、就业与失业登记管理制度、就业援助制度和专项服务制度等。</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2.《关于印发就业失业登记证管理暂行办法的通知》（人社部发〔2010〕75号）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3.《关于进一步完善公共就业服务体系有关问题的通知》（人社部发〔2012〕103号）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4.《关于进一步完善就业失业登记管理办法的通知》（人社部发〔2014〕97号）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县级以上人民政府公共就业服务机构</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仿宋_GB2312" w:hAnsi="仿宋_GB2312" w:eastAsia="仿宋_GB2312" w:cs="仿宋_GB2312"/>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0" w:hRule="atLeast"/>
          <w:jc w:val="center"/>
        </w:trPr>
        <w:tc>
          <w:tcPr>
            <w:tcW w:w="606" w:type="dxa"/>
            <w:noWrap w:val="0"/>
            <w:vAlign w:val="center"/>
          </w:tcPr>
          <w:p>
            <w:pPr>
              <w:pStyle w:val="17"/>
              <w:spacing w:line="29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14</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就业困难人员认定</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【法律】《中华人民共和国就业促进法》（2015修正）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【部门规章】《就业服务与就业管理规定》(2018修订)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fldChar w:fldCharType="begin"/>
            </w:r>
            <w:r>
              <w:rPr>
                <w:rFonts w:hint="eastAsia" w:ascii="宋体" w:hAnsi="宋体" w:eastAsia="楷体_GB2312" w:cs="宋体"/>
                <w:color w:val="000000"/>
                <w:kern w:val="2"/>
                <w:sz w:val="20"/>
                <w:szCs w:val="20"/>
                <w:lang w:val="en-US" w:eastAsia="zh-CN" w:bidi="ar-SA"/>
              </w:rPr>
              <w:instrText xml:space="preserve"> HYPERLINK "http://en.pkulaw.cn/display.aspx?cgid=6dae455d5ec714d8bdfb&amp;lib=law" \t "http://conac.pkulaw.cn/_blank" </w:instrText>
            </w:r>
            <w:r>
              <w:rPr>
                <w:rFonts w:hint="eastAsia" w:ascii="宋体" w:hAnsi="宋体" w:eastAsia="楷体_GB2312" w:cs="宋体"/>
                <w:color w:val="000000"/>
                <w:kern w:val="2"/>
                <w:sz w:val="20"/>
                <w:szCs w:val="20"/>
                <w:lang w:val="en-US" w:eastAsia="zh-CN" w:bidi="ar-SA"/>
              </w:rPr>
              <w:fldChar w:fldCharType="separate"/>
            </w:r>
            <w:r>
              <w:rPr>
                <w:rFonts w:hint="eastAsia" w:ascii="宋体" w:hAnsi="宋体" w:eastAsia="楷体_GB2312" w:cs="宋体"/>
                <w:color w:val="000000"/>
                <w:kern w:val="2"/>
                <w:sz w:val="20"/>
                <w:szCs w:val="20"/>
                <w:lang w:val="en-US" w:eastAsia="zh-CN" w:bidi="ar-SA"/>
              </w:rPr>
              <w:fldChar w:fldCharType="end"/>
            </w:r>
            <w:r>
              <w:rPr>
                <w:rFonts w:hint="eastAsia" w:ascii="宋体" w:hAnsi="宋体" w:eastAsia="楷体_GB2312" w:cs="宋体"/>
                <w:color w:val="000000"/>
                <w:kern w:val="2"/>
                <w:sz w:val="20"/>
                <w:szCs w:val="20"/>
                <w:lang w:val="en-US" w:eastAsia="zh-CN" w:bidi="ar-SA"/>
              </w:rPr>
              <w:t>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【规范性文件】《关于加强就业援助工作的指导意见》（人社部发〔2010〕29号）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县级以上地方人民政府公共就业服务机构</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9" w:hRule="atLeast"/>
          <w:jc w:val="center"/>
        </w:trPr>
        <w:tc>
          <w:tcPr>
            <w:tcW w:w="606" w:type="dxa"/>
            <w:noWrap w:val="0"/>
            <w:vAlign w:val="center"/>
          </w:tcPr>
          <w:p>
            <w:pPr>
              <w:pStyle w:val="17"/>
              <w:spacing w:line="30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城镇公益性岗位申请</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w:t>
            </w:r>
            <w:r>
              <w:rPr>
                <w:rFonts w:hint="eastAsia" w:ascii="宋体" w:hAnsi="宋体" w:cs="宋体"/>
                <w:color w:val="000000"/>
                <w:kern w:val="2"/>
                <w:sz w:val="20"/>
                <w:szCs w:val="20"/>
                <w:lang w:val="en-US" w:eastAsia="zh-CN" w:bidi="ar-SA"/>
              </w:rPr>
              <w:t>回族</w:t>
            </w:r>
            <w:r>
              <w:rPr>
                <w:rFonts w:hint="eastAsia" w:ascii="宋体" w:hAnsi="宋体" w:eastAsia="楷体_GB2312" w:cs="宋体"/>
                <w:color w:val="000000"/>
                <w:kern w:val="2"/>
                <w:sz w:val="20"/>
                <w:szCs w:val="20"/>
                <w:lang w:val="en-US" w:eastAsia="zh-CN" w:bidi="ar-SA"/>
              </w:rPr>
              <w:t>自治区人力资源和社会保障厅 财政厅 扶贫办 关于印发宁夏回族自治区公益性岗位开发管理办法的通知》（宁人社规发〔2020〕4号)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第六条 城镇公益性岗位主要包括社会公共服务岗位、社区公益性服务岗位。</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会公共服务岗位，具体包括人力资源社会保障协理员、社区治安联防协管员、劳动力统计调查员以及为城镇和社区居民提供服务的交通协管、市政管理、环境管理、物业管理、托管养老等服务的岗位;市政公共设施设备管理养护和景区、景点、公共场所的保洁、城市绿化维护等岗位。</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社区公益性岗位，具体包括县（区）、街道（乡镇）、社区开办的非营利性公共卫生服务、医疗服务、养老服务等机构在街道(乡镇)、社区开发的保洁、保养、保安及社会化服务等岗位。</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县级以上地方人民政府人力资源社会保障、扶贫、财政部门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606" w:type="dxa"/>
            <w:noWrap w:val="0"/>
            <w:vAlign w:val="center"/>
          </w:tcPr>
          <w:p>
            <w:pPr>
              <w:pStyle w:val="17"/>
              <w:spacing w:line="30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16</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农村建档立卡贫困户人口公益岗位申请</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w:t>
            </w:r>
            <w:r>
              <w:rPr>
                <w:rFonts w:hint="eastAsia" w:ascii="宋体" w:hAnsi="宋体" w:cs="宋体"/>
                <w:color w:val="000000"/>
                <w:kern w:val="2"/>
                <w:sz w:val="20"/>
                <w:szCs w:val="20"/>
                <w:lang w:val="en-US" w:eastAsia="zh-CN" w:bidi="ar-SA"/>
              </w:rPr>
              <w:t>宁夏回族自治区</w:t>
            </w:r>
            <w:r>
              <w:rPr>
                <w:rFonts w:hint="eastAsia" w:ascii="宋体" w:hAnsi="宋体" w:eastAsia="楷体_GB2312" w:cs="宋体"/>
                <w:color w:val="000000"/>
                <w:kern w:val="2"/>
                <w:sz w:val="20"/>
                <w:szCs w:val="20"/>
                <w:lang w:val="en-US" w:eastAsia="zh-CN" w:bidi="ar-SA"/>
              </w:rPr>
              <w:t>人力资源和社会保障厅 财政厅 扶贫办 关于印发宁夏回族自治区公益性岗位开发管理办法的通知》(宁人社规发〔2020〕4号)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 乡村公益性岗位主要包括村两委后勤保障服务人员、乡村居民公共配送服务人员、人力资源社会保障协理员（从事农村劳动力转移就业、城乡居民社会保险催缴等工作）、乡村护林员、河（渠）道维护员、环境道路保洁员、乡村“老饭桌”服务员、移民社区服务人员、乡村电商综合服务人员、乡村学校安全员等公益性岗位。</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第十条 乡村公益性岗位应当优先安置“无法离乡、无业可扶、无力脱贫”且有劳动能力胜任岗位工作的建档立卡贫困劳动力。</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市、县（区）人力资源社会保障、财政、扶贫、民政部门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06" w:type="dxa"/>
            <w:noWrap w:val="0"/>
            <w:vAlign w:val="center"/>
          </w:tcPr>
          <w:p>
            <w:pPr>
              <w:pStyle w:val="17"/>
              <w:spacing w:line="300" w:lineRule="exact"/>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17</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补办《独生子女父母光荣证》（审核）</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【法律】《中华人民共和国人口与计划生育法》（2015年12月中华人民共和国主席令第41号修正）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bookmarkStart w:id="2" w:name="_GoBack"/>
            <w:bookmarkEnd w:id="2"/>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【地方性法规】《宁夏回族自治区人口与计划生育条例》（2019年宁夏回族自治区人民代表大会常务委员会公告第22号修正）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第四十四条 在国家提倡一对夫妻生育一个子女期间，领取《独生子女父母光荣证》后再生育的，应当收回并注销其《独生子女父母光荣证》，停止享受独生子女父母奖励优惠待遇。</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【规范性文件】自治区卫生计生委办公室关于补办《独生子女父母光荣证》有关事项的通知(宁卫计办发〔2017〕210号)</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县级以上地方人民政府计划生育主管部门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18</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精神残疾人救助项目</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【规范性文件】《宁夏贫困精神残疾人救助项目与资金管理暂行办法》（宁残联发〔2014〕22号）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第五条 救助程序。救助对象监护人向户口所在地村（社区）居委会提出救助申请，并出具定点医院风险评估证明、病史、户口簿、身份证等，经村（社区）居委会核实符合条件者，报县（市、区）残联审定后到定点医院治疗。</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县级残联</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5"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0-6岁残疾儿童康复救助</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【规范性文件】《国务院关于建立残疾儿童康复救助制度的意见》（国发〔2018〕20号）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二、制度内容</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救助对象。救助对象为符合条件的0—6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地方人民政府制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有条件的地区，可扩大残疾儿童康复救助年龄范围，也可放宽对救助对象家庭经济条件的限制。</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【规范性文件】《自治区人民政府关于建立残疾儿童康复救助制度的实施意见》（宁政规发〔2018〕8号）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二、主要内容</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（一）救助对象。救助对象为户籍（居住证）在宁夏的0-6周岁视力、听力、言语、肢体、智力残疾儿童和孤独症儿童。有条件的市、县（区），可扩大残疾儿童康复救助年龄范围。</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（二）救助内容。包括以减轻功能障碍、改善功能状况、增强生活自理和社会参与能力为主要目的的手术、辅助器具适配和康复训练等。</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三、组织实施</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加强组织领导。残疾儿童康复救助工作实行地方人民政府负责制。各级人民政府要将残疾儿童康复救助工作列入重要议事日程，作为政府目标管理和绩效考核重要内容，对不作为、慢作为、乱作为的单位和个人加大行政问责力度，对违纪违法的严肃追究责任。</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widowControl/>
              <w:textAlignment w:val="cente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0"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宁夏残疾人自主就业创业扶持延续申请</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【规范性文件】中国残联、国家发展改革委、民政部等15个部门《关于扶持残疾人自主就业创业的意见》（残联发〔2018〕6号）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一是提供合理便利和优先照顾；二是落实税收优惠和收费减免；三是提供金融扶持和资金补贴；四是支持重点对象和互联网+创业；五是提供支持保障和服务就业。</w:t>
            </w:r>
            <w:r>
              <w:rPr>
                <w:rFonts w:hint="eastAsia" w:ascii="宋体" w:hAnsi="宋体" w:eastAsia="楷体_GB2312" w:cs="宋体"/>
                <w:color w:val="000000"/>
                <w:kern w:val="2"/>
                <w:sz w:val="20"/>
                <w:szCs w:val="20"/>
                <w:lang w:val="en-US" w:eastAsia="zh-CN" w:bidi="ar-SA"/>
              </w:rPr>
              <w:br w:type="textWrapping"/>
            </w:r>
            <w:r>
              <w:rPr>
                <w:rFonts w:hint="eastAsia" w:ascii="宋体" w:hAnsi="宋体" w:eastAsia="楷体_GB2312" w:cs="宋体"/>
                <w:color w:val="000000"/>
                <w:kern w:val="2"/>
                <w:sz w:val="20"/>
                <w:szCs w:val="20"/>
                <w:lang w:val="en-US" w:eastAsia="zh-CN" w:bidi="ar-SA"/>
              </w:rPr>
              <w:t xml:space="preserve">    【规范性文件】《自治区残联发展和改革委民政厅等15个部门关于印发&lt;宁夏回族自治区扶持残疾人自主就业创业办法&gt;的通知》（宁残联发〔2019〕7号）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第二十三条 符合条件的残疾人申请自主就业创业扶持，需到就业创业所在地县级残联或残疾人就业服务机构填写《宁夏残疾人自主就业创业扶持申请申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县级残联或残疾人就业服务机构</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5"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21</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宁夏残疾人自主就业创业扶持首次申请</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【规范性文件】中国残联、国家发展改革委、民政部等15个部门《中国残疾人联合会国家卫生和计划生育委员会关于印发〈中华人民共和国残疾人证管理办法〉的通知》（残联发〔2018〕6号）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一是提供合理便利和优先照顾；二是落实税收优惠和收费减免；三是提供金融扶持和资金补贴；四是支持重点对象和互联网+创业；五是提供支持保障和服务就业。</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【规范性文件】《自治区残联发展和改革委民政厅等15个部门关于印发&lt;宁夏回族自治区扶持残疾人自主就业创业办法&gt;的通知》（宁残联发〔2019〕7号）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第二十三条 符合条件的残疾人申请自主就业创业扶持，需到就业创业所在地县级残联或残疾人劳动就业服务机构填写《宁夏残疾人自主就业创业扶持申请审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县级残联或残疾人劳动就业服务机构</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22</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对就业困难人员灵活就业缴纳社会保险费的给予社会保险补贴</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【规范性文件】《国务院关于进一步做好新形势下就业创业工作的意见》（国发〔2015〕23号）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十四）加强对困难人员的就业援助。对用人单位招用就业困难人员，签订劳动合同并缴纳社会保险费的，在一定期限内给予社会保险补贴。对就业困难人员灵活就业并缴纳社会保险费的，给予一定比例的社会保险补贴。</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【规范性文件】《关于印发〈就业补助资金管理办法〉的通知》（财社〔2017〕164号）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第四条第一款 就业补助资金分为对个人和单位的补贴、公共就业服务能力建设补助两类。第二款 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 享受社会保险补贴的人员范围包括：符合《就业促进法》规定的就业困难人员和高校毕业生。社会保险补贴用于以下方面：（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【规范性文件】《关于进一步加大就业扶贫政策支持力度着力提高劳务组织化程度的通知》（人社部发〔2018〕46号）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县级以上地方人民政府人力资源社会保障部门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用人单位招收（转入）职工劳动合同备案</w:t>
            </w:r>
          </w:p>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用人单位招收（转入）职工劳动合同备案</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【法律】《中华人民共和国劳动法》（2018年全国人民代表大会常务委员会第7次会议第二次修正）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第二十七条 用人单位濒临破产进行法定整顿期间或者生产经营状况发生严重困难，确需裁减人员的，应当提前三十日向工会或者全体职工说明情况，听取工会或者职工的意见，经向劳动行政部门报告后，可以裁减人员。</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第三十四条 集体合同订立后应当报送劳动行政部门……。</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【法律】《中华人民共和国劳动合同法》（2012年全国人民代表大会常务委员会第30次会议修正）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第四十一条 ……需要裁减人员二十人以上或者裁减不足二十人但占企业职工总数百分之十以上的，用人单位提前三十日向工会或者全体职工说明情况，听取工会或者职工的意见后，裁减人员方案经向劳动  行政部门报告，可以裁减人员……。</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第五十四条 集体合同订立后，应当报送劳动行政部门……。</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【部门规章】《工资集体协商试行办法》（中华人民共和国劳动和社会保障部令第9号）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第六条 县级以上劳动保障行政部门依法对工资协议进行审查，对协议的履行情况进行监督检查。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第二十一条 工资协议签订后，应于7日内由企业将工资协议一式三份及说明，报送劳动保障行政部门审查。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【部门规章】《集体合同规定》（中华人民共和国劳动和社会保障部令第22号）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第四十二条 集体合同或专项集体合同签订或变更后，应当自双方首席代表签字之日起10日内，由用人单位一方将文本一式三份报送劳动保障行政部门审查。</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【规范性文件】《中共中央国务院关于构建和谐劳动关系的意见》</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（八）全面实行劳动合同制度。……全面推进  劳动用工信息申报备案制度建设，加强对企业劳动用工的动态管理。</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【规范性文件】《关于建立劳动用工备案制度的通知》（劳部发﹝2006﹞46号）全文。</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县级以上地方人民政府人力资源社会保障部门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rPr>
                <w:rFonts w:hint="eastAsia" w:ascii="宋体" w:hAnsi="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606" w:type="dxa"/>
            <w:noWrap w:val="0"/>
            <w:vAlign w:val="center"/>
          </w:tcPr>
          <w:p>
            <w:pPr>
              <w:pStyle w:val="17"/>
              <w:ind w:firstLine="0" w:firstLineChars="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24</w:t>
            </w:r>
          </w:p>
        </w:tc>
        <w:tc>
          <w:tcPr>
            <w:tcW w:w="1137"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用人单位与职工解除（终止）劳动合同备案</w:t>
            </w:r>
          </w:p>
        </w:tc>
        <w:tc>
          <w:tcPr>
            <w:tcW w:w="9869" w:type="dxa"/>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 xml:space="preserve">【规范性文件】《关于建立劳动用工备案制度的通知》(劳社部发〔2006〕46号)  </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第三条 规范劳动用工备案的内容和要求：（一）用人单位进行劳动用工备案的信息应当包括：用人单位名称、法定代表人、经济类型、组织机构代码，招用职工的人数、姓名、性别、公民身份号码，与职工签订劳动合同的起止时间，终止或解除劳动合同的人数、职工姓名、时间等。（二）用人单位新招用职工或与职工续订劳动合同的，应自招用或续订劳动合同之日起30日内进行劳动用工备案。用人单位与职工终止或解除劳动合同的，应在终止或解除劳动合同后7日内进行劳动用工备案。用人单位名称、法定代表人、经济类型、组织机构代码发生变更后，应在30日内办理劳动用工备案变更手续。用人单位注销后，应在7日内办理劳动用工备案注销手续。（三）用人单位登记注册地与实际经营地不一致的，在实际经营地的劳动保障行政部门进行劳动用工备案。</w:t>
            </w:r>
          </w:p>
        </w:tc>
        <w:tc>
          <w:tcPr>
            <w:tcW w:w="1125"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县级以上地方人民政府人力资源社会保障部门</w:t>
            </w:r>
          </w:p>
        </w:tc>
        <w:tc>
          <w:tcPr>
            <w:tcW w:w="1996" w:type="dxa"/>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50" w:type="dxa"/>
            <w:noWrap w:val="0"/>
            <w:vAlign w:val="center"/>
          </w:tcPr>
          <w:p>
            <w:pPr>
              <w:rPr>
                <w:rFonts w:hint="eastAsia" w:ascii="宋体" w:hAnsi="宋体"/>
                <w:bCs/>
                <w:kern w:val="0"/>
                <w:sz w:val="20"/>
                <w:szCs w:val="20"/>
              </w:rPr>
            </w:pPr>
          </w:p>
        </w:tc>
      </w:tr>
    </w:tbl>
    <w:p>
      <w:pPr>
        <w:pStyle w:val="9"/>
        <w:spacing w:after="312" w:afterLines="100"/>
        <w:ind w:left="0" w:leftChars="0" w:firstLine="0" w:firstLineChars="0"/>
        <w:jc w:val="center"/>
        <w:rPr>
          <w:rFonts w:hint="eastAsia" w:ascii="黑体" w:hAnsi="黑体" w:eastAsia="黑体" w:cs="黑体"/>
          <w:sz w:val="36"/>
          <w:szCs w:val="36"/>
        </w:rPr>
      </w:pPr>
    </w:p>
    <w:p>
      <w:pPr>
        <w:pStyle w:val="9"/>
        <w:spacing w:after="312" w:afterLines="100"/>
        <w:ind w:left="0" w:leftChars="0" w:firstLine="0" w:firstLineChars="0"/>
        <w:jc w:val="center"/>
        <w:rPr>
          <w:rFonts w:hint="eastAsia" w:ascii="黑体" w:hAnsi="黑体" w:eastAsia="黑体" w:cs="黑体"/>
          <w:sz w:val="36"/>
          <w:szCs w:val="36"/>
        </w:rPr>
      </w:pPr>
    </w:p>
    <w:p>
      <w:pPr>
        <w:pStyle w:val="9"/>
        <w:spacing w:after="312" w:afterLines="100"/>
        <w:ind w:left="0" w:leftChars="0" w:firstLine="0" w:firstLineChars="0"/>
        <w:jc w:val="center"/>
        <w:rPr>
          <w:rFonts w:hint="eastAsia" w:ascii="黑体" w:hAnsi="黑体" w:eastAsia="黑体" w:cs="黑体"/>
          <w:sz w:val="36"/>
          <w:szCs w:val="36"/>
        </w:rPr>
      </w:pPr>
    </w:p>
    <w:p>
      <w:pPr>
        <w:pStyle w:val="9"/>
        <w:spacing w:after="312" w:afterLines="100"/>
        <w:ind w:left="0" w:leftChars="0" w:firstLine="0" w:firstLineChars="0"/>
        <w:jc w:val="center"/>
        <w:rPr>
          <w:rFonts w:hint="eastAsia" w:ascii="黑体" w:hAnsi="黑体" w:eastAsia="黑体" w:cs="黑体"/>
          <w:sz w:val="36"/>
          <w:szCs w:val="36"/>
        </w:rPr>
      </w:pPr>
    </w:p>
    <w:p>
      <w:pPr>
        <w:pStyle w:val="9"/>
        <w:spacing w:after="312" w:afterLines="100"/>
        <w:ind w:left="0" w:leftChars="0" w:firstLine="0" w:firstLineChars="0"/>
        <w:jc w:val="center"/>
        <w:rPr>
          <w:rFonts w:ascii="黑体" w:hAnsi="黑体" w:eastAsia="黑体" w:cs="黑体"/>
          <w:sz w:val="36"/>
          <w:szCs w:val="36"/>
        </w:rPr>
      </w:pPr>
      <w:r>
        <w:rPr>
          <w:rFonts w:hint="eastAsia" w:ascii="黑体" w:hAnsi="黑体" w:eastAsia="黑体" w:cs="黑体"/>
          <w:sz w:val="36"/>
          <w:szCs w:val="36"/>
        </w:rPr>
        <w:t>六、</w:t>
      </w:r>
      <w:r>
        <w:rPr>
          <w:rFonts w:hint="eastAsia" w:ascii="黑体" w:hAnsi="黑体" w:eastAsia="黑体" w:cs="黑体"/>
          <w:sz w:val="32"/>
          <w:szCs w:val="32"/>
        </w:rPr>
        <w:t>其他类（2项）</w:t>
      </w:r>
    </w:p>
    <w:tbl>
      <w:tblPr>
        <w:tblStyle w:val="15"/>
        <w:tblW w:w="14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7"/>
        <w:gridCol w:w="9484"/>
        <w:gridCol w:w="1290"/>
        <w:gridCol w:w="1523"/>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序号</w:t>
            </w: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bCs/>
                <w:sz w:val="20"/>
                <w:szCs w:val="20"/>
                <w:lang w:val="en-US" w:eastAsia="zh-CN"/>
              </w:rPr>
            </w:pPr>
            <w:r>
              <w:rPr>
                <w:rFonts w:hint="eastAsia" w:ascii="方正黑体简体" w:hAnsi="方正黑体简体" w:eastAsia="方正黑体简体" w:cs="方正黑体简体"/>
                <w:bCs/>
                <w:sz w:val="20"/>
                <w:szCs w:val="20"/>
                <w:lang w:val="en-US" w:eastAsia="zh-CN"/>
              </w:rPr>
              <w:t>职权名称</w:t>
            </w:r>
          </w:p>
        </w:tc>
        <w:tc>
          <w:tcPr>
            <w:tcW w:w="94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bCs/>
                <w:sz w:val="20"/>
                <w:szCs w:val="20"/>
                <w:lang w:val="en-US" w:eastAsia="zh-CN"/>
              </w:rPr>
            </w:pPr>
            <w:r>
              <w:rPr>
                <w:rFonts w:hint="eastAsia" w:ascii="方正黑体简体" w:hAnsi="方正黑体简体" w:eastAsia="方正黑体简体" w:cs="方正黑体简体"/>
                <w:bCs/>
                <w:sz w:val="20"/>
                <w:szCs w:val="20"/>
                <w:lang w:val="en-US" w:eastAsia="zh-CN"/>
              </w:rPr>
              <w:t>设定依据</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bCs/>
                <w:sz w:val="20"/>
                <w:szCs w:val="20"/>
                <w:lang w:val="en-US" w:eastAsia="zh-CN"/>
              </w:rPr>
            </w:pPr>
            <w:r>
              <w:rPr>
                <w:rFonts w:hint="eastAsia" w:ascii="方正黑体简体" w:hAnsi="方正黑体简体" w:eastAsia="方正黑体简体" w:cs="方正黑体简体"/>
                <w:bCs/>
                <w:sz w:val="20"/>
                <w:szCs w:val="20"/>
                <w:lang w:val="en-US" w:eastAsia="zh-CN"/>
              </w:rPr>
              <w:t>原行使层级及部门</w:t>
            </w:r>
          </w:p>
        </w:tc>
        <w:tc>
          <w:tcPr>
            <w:tcW w:w="15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bCs/>
                <w:sz w:val="20"/>
                <w:szCs w:val="20"/>
                <w:lang w:val="en-US" w:eastAsia="zh-CN"/>
              </w:rPr>
            </w:pPr>
            <w:r>
              <w:rPr>
                <w:rFonts w:hint="eastAsia" w:ascii="方正黑体简体" w:hAnsi="方正黑体简体" w:eastAsia="方正黑体简体" w:cs="方正黑体简体"/>
                <w:bCs/>
                <w:sz w:val="20"/>
                <w:szCs w:val="20"/>
                <w:lang w:val="en-US" w:eastAsia="zh-CN"/>
              </w:rPr>
              <w:t>承接乡镇</w:t>
            </w:r>
          </w:p>
        </w:tc>
        <w:tc>
          <w:tcPr>
            <w:tcW w:w="4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bCs/>
                <w:sz w:val="20"/>
                <w:szCs w:val="20"/>
              </w:rPr>
            </w:pPr>
            <w:r>
              <w:rPr>
                <w:rFonts w:hint="eastAsia" w:ascii="方正黑体简体" w:hAnsi="方正黑体简体" w:eastAsia="方正黑体简体" w:cs="方正黑体简体"/>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9"/>
              <w:autoSpaceDE w:val="0"/>
              <w:spacing w:beforeAutospacing="0"/>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507" w:type="dxa"/>
            <w:tcBorders>
              <w:top w:val="single" w:color="auto" w:sz="4" w:space="0"/>
              <w:left w:val="nil"/>
              <w:bottom w:val="single" w:color="auto" w:sz="4" w:space="0"/>
              <w:right w:val="single" w:color="auto" w:sz="4" w:space="0"/>
            </w:tcBorders>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城乡居民医疗保险参保信息变更</w:t>
            </w:r>
          </w:p>
        </w:tc>
        <w:tc>
          <w:tcPr>
            <w:tcW w:w="9484" w:type="dxa"/>
            <w:tcBorders>
              <w:top w:val="single" w:color="auto" w:sz="4" w:space="0"/>
              <w:left w:val="nil"/>
              <w:bottom w:val="single" w:color="auto" w:sz="4" w:space="0"/>
              <w:right w:val="single" w:color="auto" w:sz="4" w:space="0"/>
            </w:tcBorders>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【法律】《中华人民共和国社会保险法》（2018年全国人民代表大会常务委员会第7次会议第二次修正）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第八条 社会保险经办机构提供社会保险服务，负责社会保险登记、个人权益记录、社会保险待遇支付等工作。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第三十一条 社会保险经办机构根据管理服务的需要，可以与医疗机构、药品经营单位签订服务协议，规范医疗服务行为。</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医疗机构应当为参保人员提供合理、必要的医疗服务。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第二款 用人单位的社会保险登记事项发生变更或者用人单位依法终止的，应当自变更或终止之日起三十日内，到社会保险经办机构办理变更或者注销社会保险登记。</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【行政法规】《社会保险费征缴暂行条例》（2019年国务院令第710号修订）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第九条 缴费单位的社会保险登记事项发生变更或者缴费单位依法终止的，应当自变更或者终止之日起三十日内，到社会保险经办机构办理变更或者终止社会保险登记手续。</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【规范性文件】《宁夏回族自治区城乡居民基本医疗保险自治区统筹管理经办规程（试行）》（宁社保发〔2015〕22号）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第十一条 参保人员因身份证号码、户籍所在地等基本信息发生变更时，应携带有关证件、材料及时到参保地的民生服务中心申请办理变更登记手续，填写《城乡居民基本医疗保险信息变更登记表》，经审核后办理登记信息变更。</w:t>
            </w:r>
          </w:p>
        </w:tc>
        <w:tc>
          <w:tcPr>
            <w:tcW w:w="1290" w:type="dxa"/>
            <w:tcBorders>
              <w:top w:val="single" w:color="auto" w:sz="4" w:space="0"/>
              <w:left w:val="nil"/>
              <w:bottom w:val="single" w:color="auto" w:sz="4" w:space="0"/>
              <w:right w:val="single" w:color="auto" w:sz="4" w:space="0"/>
            </w:tcBorders>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县级以上地方人民政府医疗保险行政部门</w:t>
            </w:r>
          </w:p>
        </w:tc>
        <w:tc>
          <w:tcPr>
            <w:tcW w:w="1523" w:type="dxa"/>
            <w:tcBorders>
              <w:top w:val="single" w:color="auto" w:sz="4" w:space="0"/>
              <w:left w:val="nil"/>
              <w:bottom w:val="single" w:color="auto" w:sz="4" w:space="0"/>
              <w:right w:val="single" w:color="auto" w:sz="4" w:space="0"/>
            </w:tcBorders>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22" w:type="dxa"/>
            <w:tcBorders>
              <w:top w:val="single" w:color="auto" w:sz="4" w:space="0"/>
              <w:left w:val="nil"/>
              <w:bottom w:val="single" w:color="auto" w:sz="4" w:space="0"/>
              <w:right w:val="single" w:color="auto" w:sz="4" w:space="0"/>
            </w:tcBorders>
            <w:noWrap w:val="0"/>
            <w:vAlign w:val="center"/>
          </w:tcPr>
          <w:p>
            <w:pPr>
              <w:autoSpaceDE w:val="0"/>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9"/>
              <w:autoSpaceDE w:val="0"/>
              <w:spacing w:beforeAutospacing="0"/>
              <w:ind w:left="0" w:leftChars="0" w:firstLine="0" w:firstLineChars="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507" w:type="dxa"/>
            <w:tcBorders>
              <w:top w:val="single" w:color="auto" w:sz="4" w:space="0"/>
              <w:left w:val="nil"/>
              <w:bottom w:val="single" w:color="auto" w:sz="4" w:space="0"/>
              <w:right w:val="single" w:color="auto" w:sz="4" w:space="0"/>
            </w:tcBorders>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城乡居民基本医疗保险参保登记</w:t>
            </w:r>
          </w:p>
        </w:tc>
        <w:tc>
          <w:tcPr>
            <w:tcW w:w="9484" w:type="dxa"/>
            <w:tcBorders>
              <w:top w:val="single" w:color="auto" w:sz="4" w:space="0"/>
              <w:left w:val="nil"/>
              <w:bottom w:val="single" w:color="auto" w:sz="4" w:space="0"/>
              <w:right w:val="single" w:color="auto" w:sz="4" w:space="0"/>
            </w:tcBorders>
            <w:noWrap w:val="0"/>
            <w:vAlign w:val="center"/>
          </w:tcPr>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【法律】《中华人民共和国社会保险法》（2018年全国人民代表大会常务委员会第7次会议修正）</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第八条 社会保险经办机构提供社会保险服务，负责社会保险登记、个人权益记录、社会保险待遇支付等工作。</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第三十一条 社会保险经办机构根据管理服务的需要，可以与医疗机构、药品经营单位签订服务协议，规范医疗服务行为。</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医疗机构应当为参保人员提供合理、必要的医疗服务。</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第二款 用人单位的社会保险登记事项发生变更或者用人单位依法终止的，应当自变更或终止之日起三十日内，到社会保险经办机构办理变更或者注销社会保险登记。</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【行政法规】《社会保险费征缴暂行条例》（2019年国务院令第710号修订）</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第七条第一款 缴费单位必须向当地社会保险经办机构办理社会保险登记，参加社会保险。</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【规范性文件】《宁夏回族自治区城乡居民基本医疗保险自治区统筹管理经办规程（试行）》（宁社保发〔2015〕22号）</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第四条 首次参加居民医保的，申请人携带户口簿、身份证等有关证件到户籍所在地的民生服务中心办理参保登记，录入基本信息。特殊人群参保，依据相关规定执行。</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第五条 大中专院校在校学生未在户籍地参保的，应以学校为单位参保，由单位协办人（各类学校或教育部门指定机构的专、兼职协管人员）统一进行参保人员信息收集、初审、记录、汇总和上报，按照规定的数据格式将登记信息录入电子表格文件，携带登记资料与登记信息电子文件统一到学校所在地经办机构办理参保登记。</w:t>
            </w:r>
          </w:p>
          <w:p>
            <w:pPr>
              <w:widowControl/>
              <w:autoSpaceDE w:val="0"/>
              <w:ind w:firstLine="400" w:firstLineChars="20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第六条 新生儿缴纳当年度医保费用后,按规定享受居民医保待遇。新生儿落地参保业务按照《宁夏新生儿落地参加城乡居民基本医疗保险业务经办规程》的规定执行。</w:t>
            </w:r>
          </w:p>
        </w:tc>
        <w:tc>
          <w:tcPr>
            <w:tcW w:w="1290" w:type="dxa"/>
            <w:tcBorders>
              <w:top w:val="single" w:color="auto" w:sz="4" w:space="0"/>
              <w:left w:val="nil"/>
              <w:bottom w:val="single" w:color="auto" w:sz="4" w:space="0"/>
              <w:right w:val="single" w:color="auto" w:sz="4" w:space="0"/>
            </w:tcBorders>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eastAsia="楷体_GB2312" w:cs="宋体"/>
                <w:color w:val="000000"/>
                <w:kern w:val="2"/>
                <w:sz w:val="20"/>
                <w:szCs w:val="20"/>
                <w:lang w:val="en-US" w:eastAsia="zh-CN" w:bidi="ar-SA"/>
              </w:rPr>
              <w:t>县级以上地方人民政府医疗保险行政部门</w:t>
            </w:r>
          </w:p>
        </w:tc>
        <w:tc>
          <w:tcPr>
            <w:tcW w:w="1523" w:type="dxa"/>
            <w:tcBorders>
              <w:top w:val="single" w:color="auto" w:sz="4" w:space="0"/>
              <w:left w:val="nil"/>
              <w:bottom w:val="single" w:color="auto" w:sz="4" w:space="0"/>
              <w:right w:val="single" w:color="auto" w:sz="4" w:space="0"/>
            </w:tcBorders>
            <w:noWrap w:val="0"/>
            <w:vAlign w:val="center"/>
          </w:tcPr>
          <w:p>
            <w:pPr>
              <w:widowControl/>
              <w:autoSpaceDE w:val="0"/>
              <w:textAlignment w:val="center"/>
              <w:rPr>
                <w:rFonts w:hint="eastAsia" w:ascii="宋体" w:hAnsi="宋体" w:eastAsia="楷体_GB2312" w:cs="宋体"/>
                <w:color w:val="000000"/>
                <w:kern w:val="2"/>
                <w:sz w:val="20"/>
                <w:szCs w:val="20"/>
                <w:lang w:val="en-US" w:eastAsia="zh-CN" w:bidi="ar-SA"/>
              </w:rPr>
            </w:pPr>
            <w:r>
              <w:rPr>
                <w:rFonts w:hint="eastAsia" w:ascii="宋体" w:hAnsi="宋体" w:cs="宋体"/>
                <w:color w:val="000000"/>
                <w:kern w:val="2"/>
                <w:sz w:val="20"/>
                <w:szCs w:val="20"/>
                <w:lang w:val="en-US" w:eastAsia="zh-CN" w:bidi="ar-SA"/>
              </w:rPr>
              <w:t>吉强镇、兴隆镇、平峰镇、将台堡镇、新营乡、偏城乡、硝河乡、西滩乡、马莲乡、什字乡、火石寨乡、王明乡、兴平乡、白崖乡、震湖乡、沙沟乡、田坪乡、红耀乡、马建乡,共19个乡镇</w:t>
            </w:r>
          </w:p>
        </w:tc>
        <w:tc>
          <w:tcPr>
            <w:tcW w:w="422" w:type="dxa"/>
            <w:tcBorders>
              <w:top w:val="single" w:color="auto" w:sz="4" w:space="0"/>
              <w:left w:val="nil"/>
              <w:bottom w:val="single" w:color="auto" w:sz="4" w:space="0"/>
              <w:right w:val="single" w:color="auto" w:sz="4" w:space="0"/>
            </w:tcBorders>
            <w:noWrap w:val="0"/>
            <w:vAlign w:val="center"/>
          </w:tcPr>
          <w:p>
            <w:pPr>
              <w:autoSpaceDE w:val="0"/>
              <w:rPr>
                <w:rFonts w:hint="eastAsia" w:ascii="宋体" w:hAnsi="宋体"/>
                <w:color w:val="000000"/>
                <w:sz w:val="20"/>
                <w:szCs w:val="20"/>
              </w:rPr>
            </w:pPr>
          </w:p>
        </w:tc>
      </w:tr>
    </w:tbl>
    <w:p>
      <w:pPr>
        <w:pStyle w:val="9"/>
        <w:spacing w:before="0" w:beforeAutospacing="0" w:after="0" w:line="360" w:lineRule="exact"/>
        <w:ind w:left="0" w:leftChars="0" w:firstLine="200" w:firstLineChars="100"/>
        <w:jc w:val="left"/>
        <w:rPr>
          <w:rFonts w:hint="eastAsia" w:ascii="宋体" w:hAnsi="宋体"/>
          <w:bCs/>
          <w:kern w:val="0"/>
          <w:sz w:val="20"/>
          <w:szCs w:val="20"/>
        </w:rPr>
      </w:pP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outlineLvl w:val="9"/>
        <w:rPr>
          <w:rFonts w:hint="default" w:ascii="仿宋_GB2312" w:eastAsia="仿宋_GB2312"/>
          <w:szCs w:val="32"/>
          <w:lang w:val="en-US" w:eastAsia="zh-CN"/>
        </w:rPr>
      </w:pPr>
    </w:p>
    <w:sectPr>
      <w:headerReference r:id="rId3" w:type="default"/>
      <w:footerReference r:id="rId4" w:type="default"/>
      <w:pgSz w:w="16838" w:h="11906" w:orient="landscape"/>
      <w:pgMar w:top="1587" w:right="1417"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870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70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宋体" w:hAnsi="宋体" w:eastAsia="宋体" w:cs="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- 227 -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869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楷体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691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8"/>
                      <w:rPr>
                        <w:rFonts w:hint="eastAsia" w:eastAsia="楷体_GB231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42CCB"/>
    <w:rsid w:val="00091B1F"/>
    <w:rsid w:val="005E312B"/>
    <w:rsid w:val="007547C6"/>
    <w:rsid w:val="00D07C57"/>
    <w:rsid w:val="00F0239E"/>
    <w:rsid w:val="03602541"/>
    <w:rsid w:val="05BA129C"/>
    <w:rsid w:val="07B0367A"/>
    <w:rsid w:val="07DE47B8"/>
    <w:rsid w:val="08551F56"/>
    <w:rsid w:val="09EC3188"/>
    <w:rsid w:val="0D187458"/>
    <w:rsid w:val="0D566C0E"/>
    <w:rsid w:val="0F6B2E4C"/>
    <w:rsid w:val="10A014CD"/>
    <w:rsid w:val="10E653C0"/>
    <w:rsid w:val="1252166D"/>
    <w:rsid w:val="13025523"/>
    <w:rsid w:val="141C7E40"/>
    <w:rsid w:val="15336DBB"/>
    <w:rsid w:val="16224138"/>
    <w:rsid w:val="16362214"/>
    <w:rsid w:val="1A542CCB"/>
    <w:rsid w:val="1AB85862"/>
    <w:rsid w:val="1B162A6A"/>
    <w:rsid w:val="1C336784"/>
    <w:rsid w:val="1CC82797"/>
    <w:rsid w:val="1FCC677F"/>
    <w:rsid w:val="1FD74963"/>
    <w:rsid w:val="22C314DD"/>
    <w:rsid w:val="23C72894"/>
    <w:rsid w:val="24B509EE"/>
    <w:rsid w:val="24F32B41"/>
    <w:rsid w:val="2ADF49F5"/>
    <w:rsid w:val="2AF66B04"/>
    <w:rsid w:val="2BA731EB"/>
    <w:rsid w:val="2BF64B26"/>
    <w:rsid w:val="2E1B40C9"/>
    <w:rsid w:val="303F254B"/>
    <w:rsid w:val="31EF4A46"/>
    <w:rsid w:val="359D0106"/>
    <w:rsid w:val="360F1F6B"/>
    <w:rsid w:val="378435C1"/>
    <w:rsid w:val="37EB0936"/>
    <w:rsid w:val="39EE7C0F"/>
    <w:rsid w:val="3A1C74B3"/>
    <w:rsid w:val="3CF9780C"/>
    <w:rsid w:val="3F29382C"/>
    <w:rsid w:val="411639E4"/>
    <w:rsid w:val="414F1E48"/>
    <w:rsid w:val="41B6296C"/>
    <w:rsid w:val="44CA1B83"/>
    <w:rsid w:val="466A77B5"/>
    <w:rsid w:val="47131B7E"/>
    <w:rsid w:val="4B4A6325"/>
    <w:rsid w:val="4C05784D"/>
    <w:rsid w:val="4F6B4F78"/>
    <w:rsid w:val="51690FC6"/>
    <w:rsid w:val="528F37FC"/>
    <w:rsid w:val="532D1CB7"/>
    <w:rsid w:val="56FA3547"/>
    <w:rsid w:val="57B523D3"/>
    <w:rsid w:val="58846AB2"/>
    <w:rsid w:val="598B23B1"/>
    <w:rsid w:val="5AED3F45"/>
    <w:rsid w:val="5B840A61"/>
    <w:rsid w:val="5EC72B1B"/>
    <w:rsid w:val="5EEA32EE"/>
    <w:rsid w:val="5F065079"/>
    <w:rsid w:val="604E0D7C"/>
    <w:rsid w:val="60AA55C5"/>
    <w:rsid w:val="60BA3B25"/>
    <w:rsid w:val="60D0152C"/>
    <w:rsid w:val="61D1060F"/>
    <w:rsid w:val="621C111E"/>
    <w:rsid w:val="636063E2"/>
    <w:rsid w:val="64B87383"/>
    <w:rsid w:val="64CE06A9"/>
    <w:rsid w:val="65A479CA"/>
    <w:rsid w:val="670B77BE"/>
    <w:rsid w:val="6AF12859"/>
    <w:rsid w:val="6D535020"/>
    <w:rsid w:val="6E7D0107"/>
    <w:rsid w:val="6EFA182B"/>
    <w:rsid w:val="6F5C735E"/>
    <w:rsid w:val="708A5F1C"/>
    <w:rsid w:val="72665C29"/>
    <w:rsid w:val="72712B61"/>
    <w:rsid w:val="74B91955"/>
    <w:rsid w:val="74BE71AE"/>
    <w:rsid w:val="757E7AAC"/>
    <w:rsid w:val="75DF1AFF"/>
    <w:rsid w:val="79E74C2A"/>
    <w:rsid w:val="7A085877"/>
    <w:rsid w:val="7B05315E"/>
    <w:rsid w:val="7CF46BBC"/>
    <w:rsid w:val="7EFD4FF0"/>
    <w:rsid w:val="7F96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paragraph" w:styleId="4">
    <w:name w:val="Normal Indent"/>
    <w:basedOn w:val="1"/>
    <w:qFormat/>
    <w:uiPriority w:val="0"/>
    <w:pPr>
      <w:ind w:firstLine="200" w:firstLineChars="200"/>
    </w:pPr>
    <w:rPr>
      <w:rFonts w:ascii="Times New Roman" w:hAnsi="Times New Roman"/>
    </w:rPr>
  </w:style>
  <w:style w:type="paragraph" w:styleId="5">
    <w:name w:val="annotation text"/>
    <w:basedOn w:val="1"/>
    <w:unhideWhenUsed/>
    <w:qFormat/>
    <w:uiPriority w:val="99"/>
    <w:pPr>
      <w:jc w:val="left"/>
    </w:pPr>
  </w:style>
  <w:style w:type="paragraph" w:styleId="6">
    <w:name w:val="Body Text"/>
    <w:basedOn w:val="1"/>
    <w:qFormat/>
    <w:uiPriority w:val="1"/>
    <w:rPr>
      <w:rFonts w:ascii="仿宋_GB2312" w:hAnsi="仿宋_GB2312" w:eastAsia="仿宋_GB2312" w:cs="仿宋_GB2312"/>
      <w:sz w:val="18"/>
      <w:szCs w:val="18"/>
      <w:lang w:val="zh-CN" w:eastAsia="zh-CN" w:bidi="zh-CN"/>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7"/>
    <w:unhideWhenUsed/>
    <w:qFormat/>
    <w:uiPriority w:val="99"/>
    <w:pPr>
      <w:spacing w:before="100" w:beforeAutospacing="1"/>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Times New Roman" w:hAnsi="Times New Roman" w:eastAsia="宋体" w:cs="Times New Roman"/>
      <w:sz w:val="24"/>
      <w:szCs w:val="24"/>
    </w:rPr>
  </w:style>
  <w:style w:type="character" w:styleId="13">
    <w:name w:val="Strong"/>
    <w:basedOn w:val="12"/>
    <w:qFormat/>
    <w:uiPriority w:val="0"/>
    <w:rPr>
      <w:b/>
    </w:rPr>
  </w:style>
  <w:style w:type="character" w:styleId="14">
    <w:name w:val="Hyperlink"/>
    <w:basedOn w:val="12"/>
    <w:qFormat/>
    <w:uiPriority w:val="0"/>
    <w:rPr>
      <w:rFonts w:ascii="Arial" w:hAnsi="Arial" w:cs="Arial"/>
      <w:color w:val="000000"/>
      <w:u w:val="none"/>
    </w:rPr>
  </w:style>
  <w:style w:type="paragraph" w:styleId="16">
    <w:name w:val="List Paragraph"/>
    <w:basedOn w:val="1"/>
    <w:qFormat/>
    <w:uiPriority w:val="34"/>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15"/>
    <w:basedOn w:val="12"/>
    <w:qFormat/>
    <w:uiPriority w:val="0"/>
    <w:rPr>
      <w:rFonts w:hint="default" w:ascii="font-weight : 400" w:hAnsi="font-weight : 400" w:eastAsia="Times New Roman"/>
      <w:color w:val="000000"/>
      <w:sz w:val="22"/>
      <w:szCs w:val="22"/>
    </w:rPr>
  </w:style>
  <w:style w:type="character" w:customStyle="1" w:styleId="19">
    <w:name w:val="font31"/>
    <w:basedOn w:val="12"/>
    <w:qFormat/>
    <w:uiPriority w:val="0"/>
    <w:rPr>
      <w:rFonts w:hint="eastAsia" w:ascii="仿宋_GB2312" w:eastAsia="仿宋_GB2312" w:cs="仿宋_GB2312"/>
      <w:color w:val="000000"/>
      <w:sz w:val="20"/>
      <w:szCs w:val="20"/>
      <w:u w:val="none"/>
    </w:rPr>
  </w:style>
  <w:style w:type="character" w:customStyle="1" w:styleId="20">
    <w:name w:val="font21"/>
    <w:basedOn w:val="12"/>
    <w:qFormat/>
    <w:uiPriority w:val="0"/>
    <w:rPr>
      <w:rFonts w:ascii="方正楷体_GBK" w:hAnsi="方正楷体_GBK" w:eastAsia="方正楷体_GBK" w:cs="方正楷体_GBK"/>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2018-08-28T06:53:00Z</dcterms:created>
  <dc:creator>Administrator</dc:creator>
  <cp:lastModifiedBy>Administrator</cp:lastModifiedBy>
  <cp:lastPrinted>2021-03-01T07:50:00Z</cp:lastPrinted>
  <dcterms:modified xsi:type="dcterms:W3CDTF">2021-03-17T02:02:48Z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