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DE" w:rsidRDefault="00480CDE">
      <w:pPr>
        <w:jc w:val="center"/>
      </w:pPr>
    </w:p>
    <w:p w:rsidR="00480CDE" w:rsidRDefault="00480CDE">
      <w:pPr>
        <w:jc w:val="center"/>
      </w:pPr>
    </w:p>
    <w:p w:rsidR="00480CDE" w:rsidRDefault="00480CDE">
      <w:pPr>
        <w:jc w:val="center"/>
      </w:pPr>
    </w:p>
    <w:p w:rsidR="00480CDE" w:rsidRDefault="00480CDE">
      <w:pPr>
        <w:jc w:val="center"/>
      </w:pPr>
    </w:p>
    <w:p w:rsidR="00480CDE" w:rsidRDefault="00626957">
      <w:pPr>
        <w:jc w:val="center"/>
      </w:pPr>
      <w:r>
        <w:rPr>
          <w:sz w:val="32"/>
        </w:rPr>
        <w:pict>
          <v:rect id="KGD_5E0DB757$01$00$00001" o:spid="_x0000_s1048" alt="nwkOiId/bBbOAe61rgYT4vXM3UaFFF0tl2W9B2ekj1Z7kYnHXrUHbs1gN35c90qvxirSZUk5SCm20tH53QZVzxE0EOSRDCr/mI/WBOA1AkVEY7eb39AonfG1I8FpTtULxqM6tABmaD+UHLOHSV9f/HaXN79EkuzfPLeyejOiKZ1UYnwxXNVYUbVVOIjUZF1HVAk0WvEjoVQucIk+EkvGtTf8g+TPxW9uTf1LSr7WVHrp7XOpEbytncyVbXrZ5dfaHy0sUHQy1hCofRyfLAu996bSvSqtuaUppa3r+tgIv8FVPXu4jVk+/KFnNvyCbpTsTprNhAwUvZO+xdOCjw8qYvhVe/V489nOLWXc71rjVDrqcmhDJDJlTeRW7UuFkTpEl8Pz2q0Bk6fQjgeWz5GBCe+TCdr1iCQoEhJf0MLOmtAq65p+qqXActxjwm/Dzzhaq8NHI3Krf1xfd12SI1lxQY4OIPZrgqIvVAQGzQhZKLeOxRVrGkaAlKuiLLnq4ilnphRjcVpbZa1djgxyhBG+Ecsrbs849znQRMFFnH4JDUTC++GQKUtifooStwFtZ6WZt7+UVH5l+az87+GPlxZBfHkY9yspCU/Yihx7+lWgpDMJhSAPjVCZMpGDC1MT5peyhf4z/vKdcIZ95B0OJhaiMOCtogBd7OVanN8j5z5/jDHKw+VW+Xd3jXG28xFFkKzOpTnMgLrROJ/ZQy2xUOEcBMpxOZhnR2reD3Ro1K4uxzuLKng2PENc1rxqNIu4RTjxbEZ76H98tArQCcEsZkvmbn7nMldEx5NwZ0WYvmFvR3ZSv4DzDxC9ukdTXdnehqgLGl5oH00YAPqZmgzaWjm4cRDCpcoBrZynJ6b06U3LIVTwhncJHLN5gPu7gJhAHi2RwkbOktqqM86Dv7EzX3ZZlcQifC7JvNKSXXu0he2MSInSwYltz5QxRVfSGbNKNWIA7nt3uR9qVspNdcXVFhAom4xCnDqBZcKl8PYnf9LmyEd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jYHg3So9TWk04GM0D2mQE5y3sYd9b4csagPqAHk6R1+7nXOjYY3IT62bfyoJ8qxm9vzBWdVar+V1fri14cEQYlbk1ICNWoNNBzWTRW5b6ZtpcYEGvU1s0+e+V5K/Faaw3Idpum97U0E7JLbrAqMIFnzoskhCbafffl/mJiYuLBTLPDBEemkwqwZG0UVvEGO6SJ+yzEkevcJfKBSxvN2aMmlvrTvJjRXqUwi+CIOYGoWDsPJ9i45U44JEeunMdClEcWTuxealI8lKgYipdWmuHx0HqEFBZYYb3/M/Ow13aJr5yFVm+H7KbCWXrTaLma7ExSBWaUqgJTVIydc5Cx27ALzl/YqoVp+wwvZfpa+gcXvuXA2qj1Hk0TMaekLS3MlMD+yuZC2io27uzhrLqsTG9y08eg7snz6wIhcTy+tuNzL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style="position:absolute;left:0;text-align:left;margin-left:-89.4pt;margin-top:-94.9pt;width:5pt;height:5pt;z-index:251669504;visibility:hidden;v-text-anchor:top"/>
        </w:pict>
      </w:r>
      <w:r>
        <w:rPr>
          <w:sz w:val="32"/>
        </w:rPr>
        <w:pict>
          <v:rect id="KGD_KG_Seal_14" o:spid="_x0000_s1047" alt="XF7OxlLsb7hw2SOJgMOiaxhrJlK7X6nEBiRyQzFGySht0OAuFyQbtp8FOZJoLSQya0VPAuSe4LJTl0R9gmBbsCRwmew4Qrx9UXoB1eTw9GQmdi1D3ksge0IA56vRQDKXVaJsVrKBlI8c4I8GW+awZLGLoA1LuDxQ27q1PvOjjEkmkqUWjLrPhYSKd3+lBWXUO0DNngWVCgfD7wsJWWqCSVwYSheWJ/1pd1UlJz96/vOnt3HnF/9wA2U5WV1a0oETyEbNhju1MRquvR+XDDC0lEeFNzLaF+3QVzCQQaTk2WF5ZNyjmt4ne4ZzgNN7wIcVQI/0WmgvZ0bZeWD0t1XLCOwUU2Cm5XnHMFyicdb7+XI5h0q1z4jPZ2ccOm1RLqyGzuqescAoIUO79Ak02FinOR87MY6W35RGzjxvbIDjYaR7WJcu7t+WgVhGAEAq8CMtjkzel7c77LjfU8Ta+GKiK6TeKXsqWs5j4hYdyLHa/u2awuOrZ9fotsPL0l9A0Rx9UPbKFimEaoP2SqZhes51ncc3N3T1DrfBfF5VrmnDywpDANWtnObrtVFQIYstUgCUUztNmI6EixXOyntbav9rfBZaULlIyoS4R25HtXGaokvmoIa78kKMHDBZnNVtbDy79k3VXS0uyU8hPkbY8/UQ6Dz4iioGu4HIDGW1CUi2H8fkvEl8DrOiqck/8dazv0qZXm8+lyZw9ZUJPFoDDkVjdBVN2/kX41UEyJpMUb0duLMbN46x160i4ARty0Ynha8MGtr6SfxX5rQwNJR2HkKvK7G08LhKshc5v0RFArHzOTkG+2vmfnjmI/b1g3JYPv7R+1dH3VaSorBTuzcPipuKzVOKOX+20ODkVu1XOe3/jx4U+3ulS2tkbjpKKgDidYewhms/+x4c8WysgzQDwzmP7QTaSB+A6TDhlDcZrIZ0S4+/scnXKmIR3cAWK2foNFMqpClop+jtS9F+tH0iqLV1gxQMhhFNeya00/4FO6MkCqaDLwuphUr7gsuoi1y9KsUIDwCETtivl8HdowNYMKzUwsefMrAiOw2KewcMbxt4m5Yp/yY3vdYB4omCpoZCHa6zj4CpA7rup7SXSUyX8Rw03SiOw/lnknyImaBhdr011Gavete3zTuENTTA+qiLtKFOFHDk3Tl9ZKmtK3MCKDAg54tw03/Hi7G80nu5UAw7JD2TewqWccUyOdGRDdNbgdCnUgUcR0mqxHPQEOAg//Vzi+Db9FS2ppTV6PnMasf0I48hQyyHae1cUYSPye+EipW+he/zyYoM+OLud3Ga1R7kkpiGwP6L8AheTwKZSi34fW3G/X1CAwWGWCIUKQddjkqKmka+kpL0+153n6KJ9OTKVbeo2P58urlQ233R+ZXH+S/0MGVVubtGcicmBw9rE2v9DK0GO2nwY4jWvG6TNc+iq3ll0yXbqYVg8WTh//dcPc/QXzjmDoV/xhGRpkuzEKqXymnoyVlLdo0R4pIfpRPKTUq/FXm2gY2AgfwC84Lp5SPK1sqYpme6Xd+RyAHkW3xJiHHsbHZD9UIIwy0yESTUjI6zy7157kZpj7WGo1zHiUsO0iU37K1ouwL7xj8h6KjIDCkBM4qwBTkxpIRuBEOxZOTeDct975dhe9ulwRKGHggFEodfy0z7gQJtGqJzE4Y0EX6nrhclGADKYMqelZfCibacFP5eZxld2do9tCqH79ZDnfSOFP0Wr1Czokmm0SgZZ8x7HceSCQjY0ipPnj3IU5f7MtyIJn92/JaQz7knKoZpW2y8U1aZgUA2MRBwgZx1cmMxYU8axo3WqH9RZH9IOxWeT4wWYwPvcbrj0GQhjBmTfz4DMO/lO0kUNisKMCHS0XQLEq7Be44JxYXQAfMDCfxXPTzvp7ziq68PCgMXakt8W/ajJpNWUZv3XcJWeDj344kURcXhDK2nLz+tFzA5k6mbnaeUBUtbsSNWn8/gwxpvdqXKVJH28PSNrw+SsyPeK8z+9CUUDHu5L6G2MavUNRcFulCp6d0x8CUwblxxj+8D8s6Hx8jJOi1J7B6AoHOqfz2BufmYOXtDKc/1WC43bna7WuVr9TmCeUMLYQbQ7Nrxb75G5FluW7XwGHE6NFeP2hiTM58W+ELjJyDdAMlR/SIkRpiLOfALUNJ2VlSh9cMirLjbt3Vt+INKg4llmPsrdQPixKV9ohBH6XYx93d5BMbZ+w/IRYaScX9Z2CsWUkbEMYewmhwWswUIAXTlSzmvqUK2ySiVQGuDKG8r2ZKmIoMHrlvpnavUx+lJc+FlDgYiYWcTFgr1vNeWgoKNep/S3QmSB0sdyEzr9dOqbNsj4PjEM6V7A3fNzaC347C6mC4ZUQhUnWEFEG/Vgb9leczWqD0sbScEZqPkttEFKqAZnQ3AUqqIn9EUhi3jtGF7b6NY4cebDuKrblSVEzQLvAkjEGHNme3PY4emgnYsjHKe3eZNCfepd8wzqw4pXwvzQtYgpYomkHcRVKbebC9FBbAmWNc4Dy+t1zFIMiVLFVueDpOl/xBZ5PbRPUqYlQFu8Aif3ym5cwGECpxs9oJ/xJ7WLs3o6gWvAIjo0jgn8kvn1fdZhCsuXnJBLRLQZ+ClYTI4tfi0iz+TojfN4vAPvKW4Dgr2hV3qT4qOHchEjUvSUcwA9fzzzdoGsmzr9Byc2mPJzj1WbjWoEj6SIxGZae64CgdkxsdXDI8V/+rTmUmgV+00jYV+UCsR4B5T78tfCHAG/dtPtBlWPKSA7eCf3AiVvng2MXYLDjBP26QmD6GSbLj15Zr0MXhaAD1S19sV7QuVHyDfP75y8MpAcbpkUk2TJ1xWQQm+YOe5+m1Bx7dA17x49AlSRMeC6N199xbxZLzR4BkgxcZxnPf5wUWTdCJ1HHJZAfkRD0+QYw==" style="position:absolute;left:0;text-align:left;margin-left:-89.4pt;margin-top:-94.9pt;width:5pt;height:5pt;z-index:251668480;visibility:hidden;v-text-anchor:top"/>
        </w:pict>
      </w:r>
      <w:r>
        <w:rPr>
          <w:sz w:val="32"/>
        </w:rPr>
        <w:pict>
          <v:rect id="KGD_KG_Seal_13" o:spid="_x0000_s1046" alt="6YeFZqt2wOjGWGWkQPQODECKOp5mdO1L2q+smAkJrrqS+xSkRxFRFI650y9NKIY4K5Th2Q9TaFKCNEnKyK6zxkoE/Jklpsc1L4Kcs8UuSy6SObA5Ojp+gDGF8gr+FkWxSNgm6aVHafwf5Kw6bRXbpFAQ5Ngnyv+YjYHorczMncW7wlZxJNd4v2rsm6xaWlSQ8cDzjgtS29RUPJKFFnyrH3OswHcLBzwUE7xYnnnSRGIS/Fz3EJ8Ltq16vNRNFEjVDNDwXsLaejPOXYYaJCQPm9aZU1SDKbgDkAf4p4k+9LT7ciw5Vjo83Eu+/mD7ER0r1KuQzLuQEyHm55O6kS94QjwveF2v5KFIUjARmbdr5B8ij/qnZPO7O1hK7BvJ0TLVZac+7FvUwF1i8nFuqaw+sC9MU3xvFpMiCivAQrGRtB6l8FaPlzIpTJYlh4tU3A3aGln+30JVlO/VrgzcBbeYIAwwxIMvDZduqoZGMqjHL5eME8+Vrl7fmM/kgioUqylgZ/D2vESHISunEHFWR+VKA4JeElemUDgA9nPh/+hTkKiXuE3SK7i7ZaPiOXAVwN9lknV9PGGVZ8wGbHW3aOLi/I/+E3wHJ0pmJy6LsTOnaXYdRHf6wVPS2aXorzzJoib5VXjWMvM2At8yxGmfkT4EaSXH8sZhmqTqVBopqH+dByH0qAmFdf9PeWn/+sgTG03h+21ic8lsdltcKP5i8b3dNCiSZPQ55cQIJhFJKPt1inVtbbdX8eO3z7w/j138RxMTJo0pFdi85E5bNRWdIBk3NdiCFKPnue4AAFBVbbSy7as6KWyJgzOCHPMvYH16P/ssXrXwY87POqqXz/s5mb+RpiSsUcm1gUiOYxfsS7rUgsMnXdSOETS4rbvkpKRiccFKGfIcHVWaIrG+t45KmJu+fIbTbYpUR4X5RwtlaE8xkhiUIF4sqKfpsqd2C3nGeShTgi+nVUtf38qmLmKqJL2Zs2CWdZC+YuRW/YV5c2mGo61uYdJpWhVMpONOc1m0lm40SpxnWCWwaeZsWEjc71A7ISeqb+NntM0ZkvT8WWa97Xa/MuuXFNSG6XWgLbqd7gDUgwHdoJMrIVLDsL3OHC+SVB9wkYhhVCGwBwgGj3enMv+sXYrZwxusVyPr6d/63lfZi6CkBMKQuMLdljdfmrRJxMO2xzg0QxGLn42ejdNXzdyLx8W9HvWNaHW45AOWhEHWWk51/bO55xEkzEqED7mX7OTm3kwfp1yLU9q1bGqPxAMdYfrT6bsExCO5QfXK7QVkKwrmNwNg0BMI1q3hIvDQaax4TEojy/Pp2+TCSoUPP6igN7eIY+ilCTqgWmyYKxFrBA0JjmUZR1kL4Yd8nCG/AVp5+G5R1twkGUCnRDd+UN7KVb+lwCYo/cC9iaAceK3jAGwoGrdHPyy68JIxnkWX4Hv9hX5nKk9DLHsByvA8yHfFppO8bD4h6Ybm9xqZS0vuRw/rClX/HmkOd3pmL1YKXdJ3lxz3rZJKt0OeNCAjfFyF+v4VnA7ZB9pLqcv9B4qsZNEv5X6l/dgKeQ/yL0Kdlmyz8+cu1u0Qo3kucqMAwgwgj4HakCrv2OYW62hqpWKrV9hGbbdbYZqjFfiiiR5lfGE/2IrChaJWFzWByc030XVPRkm+W5ssrftPpltkoK1530TAKie+BXw4/YM8fV+aWjsTyUHVVSbzfIZH0UPcLuBGY+H6OcPiI/3rfHXoeyIrj1h38OYkoCgntG9iGykNBnWx96IjZ8smUs++3hOgxB/r8uDkT8tSyWRQOesGi/41/WVoZAzkwUxEYWJux4dk4fGdrXc8w4RXP7V9M7eWENmE27+NqZPRZTsczaai0++8kKhn/XTPC9YElWLgRtx5zjOG6f3vVJRzhJtAq/mvKmXrex6AoMjKmr0HR0lMK/EKSliMJ+mtea95Ho6Koc/kTtv9eI/0Er5g7eLGajFoV/PPj5/yEFbRXEYece8ZBWXQrEcPnx08qYmuIXL5uMB5nLim4tNlriTH+SpP08ArRpMBn/qsGZgXih1DKf3qK/ghQomUW/XRHYVXBFcBoLBGj+b1W2DQ3ngdM+PEEKTsdic4gS4Xehaoq4LHRi9LEhvaDBdfJyYmpzJxZuVr+cIG1rHX6IbWcgoRI6G/ZNjBghZ7/GO2ZkkDiAJseP39jRNA8XGzHQ4vG+iR/lkaXP3Z0YLZG9bUfj5Uq1lsj3qTPyQMGDWhMZCSpjIbC35CTUA7d1+ChB8VPU+9ZEAtl0r6JZ74usmXWGDpdApV9fLly40+tdmEW4X3zhsc+DkHrY29i/oqlEdSaHA5Qf9iC/L/rPmvR6KEWCp4crKnFXOtHBfAR9a5PyK//8Jp8cTPHrgtn/Xq1yTisGfnFoeONOXUi/wlSpbI9+WaaxImDaBYhyIgf0DfE0Ds/PwjsS/7XZaxc2QrXXIUdSWcQsmm2w4l6vjkOw+Z6yh9Oi39KeyxtCCoXM9j3GEOvKbYK2b61CnjRKWGq6Rb8vU6HFg24bAzoQLarsaFRbKu2UzVH5bqnNoFtwmJaNxxc9fVegBgo257itp5OXzgfLMcDGMlXtMegjgRXTicA1Abk6aplFgHWRpDoha/uYXislua0rkL7EzmZliohXv0IJOdDYVgi/NvSSTc7Q+rFfEH9H+qez2eKusO+FzCF0hvRS0vmNEhQoDW8zr4FLZ1XFalDSoq4QPjfG6gUCJnT/lq+DJ/xP0xHgPYnJipetMrMXAmJehEtGW2kZkpccyqwHoFcfh48ZJkSKU67+S0IJ9Pp6fpT6OJxYNGYmf8a5ksyIzyvdoduoeMwKL1y1UWw7AQ6U2RfnUxRL9npNIPlkJupplniQJdCG8XY3GGYhcm54Crz0NiB0t8AyEAx1aQWA+3VjK3z4PgGvK7TcAQwxJzhRnqnWkRVaHMBn8D2366eowyiv6LM/SUieFAnc0OW9wogSz3q7evLAjEkFkGqZ9hZNk1ekm4CPzyNhRGi+b+WHzXUjAjOIn8bu7FoM+v9Tu5fwqiJRDoHlZIi1norlsG40wODFPLiYqrbje91XEXf9Z2MPlVMNc03E8dOMciv2N8EQcUfwAqhewb" style="position:absolute;left:0;text-align:left;margin-left:-89.4pt;margin-top:-94.9pt;width:5pt;height:5pt;z-index:251667456;visibility:hidden;v-text-anchor:top"/>
        </w:pict>
      </w:r>
      <w:r>
        <w:rPr>
          <w:sz w:val="32"/>
        </w:rPr>
        <w:pict>
          <v:rect id="KGD_KG_Seal_12" o:spid="_x0000_s1045" alt="RA0tw1MIS6k/CoxJjBLBPqqZ230X6yZehoo3E2iXENVQWv5fd7bBdT/IWwJFqq7YlqlJaNQoENjdAYxFv9dkX2oMSFIoxdob32eYNe5erWy4ATUjtu/h431XuzBjJUxF+LYlosYfkhRjQs7aQilvyAPTaYqmw8T/SGI/E6FgufGfLecXo1I9KGsUrzGxbMioLLVRlNWRs+AI3ajdbnSxqLt85qPyURTHROzUMMBNEjIj0iz+5YKl9vzTbUGhOVXkIew3999eyKGS0PNLmfaE8x2aqHNxJp7F7WiT1W7sIPaYrSugj8As6lpiF00pG/5fV9QwjS9hxuMhVohHKSHQt+wtVyg+Bd/dAKUbXixiTAeX9e5kIHCsZizKOX1BPVHtUCIzqKpXLJXCwugkOoZGDFVkjaB9VWAHMMwEuqrRXkROWqm/K9PuJJdZY1X5aPGd33SJJ1J09/r0hpJW75bB9TNv5LobCRIzebq6HrE68syOU2nk+dr0La86fl6YK8xhunb4KE8wuw5z2vuq84MwPLnUon81Fd8h2yCADhCVm3AjrMvctfFM+SNuT/kinus15kRhCQHOpvZ8XDlm7+e55EeCROOsHTgoBmp3b91ifu7EVxq7C2KBSucrGYRvRw6XMmf6oNQ/75U8jhVoV553WXuHW0VjaekovEZiUMyAvwb6DNnEQG43YhOs6ev5TvdMlx5nHEwFsLCfJMB5J7wI4jmbt4i2JEkbTo1LBgZovpzjTMYhHLqj/ZS0vhGRgtoNnqTCkEAMiWepw7jYQNLFHL2en+nqc+EdqCA3/X8ZAzN+441qtLGnsNAqoflD/suUsSxEwTx72xYRryEnt1AvxcqYZp2bJ/RmuzKTaM1ACOZooXqa6M5l74dO8FMeZutCwhTPgLsOObvi5F8HFxgiIt7IMsNuEgrse/GjSPg7zAUThxm1YrAx8smUSTXqZ1b7Uo7q/aEAZ6DFNWK27oxNK4OGZMgJStpTBcX58q/vA7Hxa29eaKSkKNu31iDEIefvT1R4FPNyzam62KxFSHlBOnWznTn4HGh3OyvBYS7YH8ag6coA4luEZjJeJZ4OJKaVpz/7cPNCv/VkFbwsOOehxkiJZF/4sDAM9aNpJnaxJCMdUxAl/vyh2isG/fkSV3zT832/joHAZH4xVN4tZsJB1wLSzSvcGhrbolwu45velRDak+psuqfsGHYr4w/WcYAU5BuKqO8aqsFtwx7SWgVwWjRtbOMOJtobekvvMHxIinQJ50lQ9CbQk9WLfuOScQxaz46j0UWJ4lS2De/Uv3XorgGnFqjrRRRVu56e5Oem7zMM36q3SnCUjUibbNV6JGiUBpHsh7lYfMRrs0fsSqLi14Xz8Ee0g6zdj3QLSrLKO5MihfQxG0/0dI+rb9w9V6HcugexSzcXl+7gCD1kc7fucOEbl1MdCg+mRvA6Yvs78gur+mRfkj8nFY+8sDQQXt+7WyZIxkNQczuSaFHaqxVCDruyt/KA6UJ887IgeZVVF117OX0ZumpWdbrRRpqKS4pPoGh/LjlTAMlu9fftT8mHQRJw7qvjs0db3LbpSMXWcSprjS87X9QXfzn/vY6z4Y47h4w/bODncEW3L+XAvRpuiHWaCG2UdppG/v96UBXJypWTjFFhMzfttQueN7ZXn/CdHAa4ah8I2SysExUzx9NbKI9pBIb/0lULzJ+RHLodqLgk3wdHEMb7WGh+0PZ6dcXbUS+hoXEggfXaMqLZluGiRu2WpMWeJq63EIxJ3CGLgNbDTMfCGd3magQ3wvH2k6JV3YT47tTTCRAOHe3jU071b2WCz/e+f/lAtUKveqy/d65gYjt/2memMumBM6OULZnhk61ApkdZAg3vcOf3ZIL186pY2a2ikhYQ5JI1vLZnRsdw41GKdzAOChKxGBiM7J3FtaIn774XKziY1Lefs/h+5Gnrp44IpxLxAO4F/170JSs9uLNhv636BuywQAHfHcfubMwPBTqH2Le0KeCDsqwSt2yskssSJ9h8XRpABKj+ozDUpsJxKZBj/cmbikw36wbRT6MEdLu2m71AtWClsdmrFdha1dN63TnaL/XOcSwEadDUVfgEatz6E5ACEBRx6rpK/HUGsft5W6ypddLthSbt8MmVk2DYVvvT3wRQeMOCH0pXprh7B6I5vr2Cq1eQvpe3jaz3VYWQ3E2+mKcdIX/OZA3D5UqlcC2l2V+6NmKTyC1JG7cfA3SPKwyTiDYpzWnBgGPfBFmmiy6u1BonZ9yJpwjSasaF7G+XwVPJYis+FjB9Qm1YCb/RgpzX34zWX8jDbPKpc6OmPuBOTm9TWq5IQuBxXrcWB0s8WwyrOvOOfz8MQ3V+WckCjkaN5OpUaKWhAtTvnVl0vN1CvAWfRE/uVnXh5Es48NYj9Y1v8x0ze+pIWiVY84ksxro9KK+er5VyOpGbftQq7NkIGgbhXvxnChs+CC/7E5SJrCvuB6GwE104KCviQwL3JYYzQ5wrDDdloc/MFqzWYJ+epieQ8WaV58BzvvzycBunNqjPd0G4NW21wm945FB95QBGGho2L+t32eMCw6x9Uhu+GJuwvlLNExhytlb/JoaOn/Ku4GppoFvLcoDfJRKn7xBV2WMhjaOrpWEAYt7GycNTMPqvne+xEMDYhtFUqbfWgkUtK3dD3f+sqobnXQkmpzuJdMSdzonqQL3sjEkPJjumap/UTeD7LO9VYr5MaCQCNEMkJapTvvoQyb2k2EjeXU/4ZU3z5yChvYx8rFNa/j7TH+R9uwHlRlxV5ZSCpILpLbpUH6PLmVxoJacVsNb7KHQOR+Ma0CKNAWvrb3aWN3STFP3/HHb5htv0fiPPdVcva1ZULeMCS1fHrUgkoXVo9ZCNAoGd6euULA4yYZrbKF7KqtHvZhZFaD902b6uTXKEWUzrKLw8FXEk1NhpBZlV1AJvA/HCSjHECaWRE7HYsV3u9Q9GW0TlR4p/+TQ1gBgWrWCblo50BugloqfB9mFUApa1v4NBCWsenxaVKIySvIMB3tdN3XBIfnK0hen0mPduqZTRrUOi/HCPalyf1ItlU2cTx9NENEejCAoqvEhO/FiSkV8wrCQi7A6N" style="position:absolute;left:0;text-align:left;margin-left:-89.4pt;margin-top:-94.9pt;width:5pt;height:5pt;z-index:251666432;visibility:hidden;v-text-anchor:top"/>
        </w:pict>
      </w:r>
      <w:r>
        <w:rPr>
          <w:sz w:val="32"/>
        </w:rPr>
        <w:pict>
          <v:rect id="KGD_KG_Seal_11" o:spid="_x0000_s1044" alt="BuyI+xt4f95dHo2C14d2K2NXccOhZjg7XoKBKggsjO9sLp+1bhtPq+UrfWvAThTLRnQEpVWG6tw8XbGRcFF+BgTeCBXvbt40lqaKdBIgrmFqQogfgz8NqNkfUC+bGkrWdoY7Bi9PWXYMeG6BXAuPgvB2/Jqm0fmRCa2S4IS8eWLZunTlGw+jBphIUMvx+ZRK1HiiVOl7HQU3c0Xv3u5bkp96An1bfCXV7Xfb7yG8SNkhfjU/FC/YbB1THKaYXZPW9x7wVjx3i4K5TQgyVreloE+rUVf+WShYS6kLITSMJTW3v5RUfmX5rPzv4Y+XFkF8eRj3KykJT9iKHHv6VaCkMwmFIA+NUJkykYMLUxPml7KmKZOp3Tmy6ka+dgi7Z6P0oh27Ah3/1Ye+epn07rH63q5mZyzycMZSJhG87/teQs7UrJtQwJaxfb0V8cDoDCPU6QvzilELjP91r+oD9eyCICeOWzlVUZrCkxTAb3qSpBRWHe2jiMA0b+9kGgyKDGKizCJz1JOtGOaLG3xIgp/nZAk8lUBu8uOXf7AAKe+bPwkijoLXkpQSxo9/Qpoqn+MPk8SYIscK2rByk/oduTL8LP/CZcB8AopO7Cc+45a3DfDRviUxsog+L1iiUzfTsPFP0epx1xDTihBzBTvqChj1PlWRSPNdjiTgeScQM1348rM6ADCl2dztFBWpGsYMqJsWBu8Qtfn1c68TKUxE39syoi9pegWFtal9FkqSUQCMzVEosOuknQz3sWGqUii8Ulm5hqTy9w5h8ODCTKZhfoFjZzg1gkIrqmgG19Djp5pb5X0voJ56uPuZk5uJUFGrpLoXLb0ZxTcWzwXEbO0vt+9THjEE5yyKDuF23S5jN96h5NVTGTGQqdKkZ/76nmW12jhtGe3O1UNymD37c0AuzTDhaEing5UvwwNsynZbaNtI7PdABEh7XD4J4oq0FsAChtop0/0nlChsUqdOuCOQYbu5WH3OvEbM/x5Mk9tySg7MFL2hZ5IrxLWpKMV+w1mhO9ju/BzRYmN5ULOEEwv1PRUfXfVwvXWaO5qmrZf0sebRIURlZugcjK2Vqleq0VRtKu241SeL/swB+6gnBVMMIWkqu7Aq9wL9/tfWMkUyqa/c29lrb3eRpvaBw2PQT4XqgIMH3kQts6ZkqpMNY9Hqa4OtzX7NX09jH4k1xicQABbX2qbC5lAUZ3uA5GsVEz4le9IxFAAeegXJVK300HR7r9Xs5uKaDrYCHteLXRf93GqtQL5zBkypUsLzxm4xalT3x9nc5ICedFhTW/HW8ggduDN8LFxsR2zY90w/322+Ks8IuZsQKYaInndT4lVY/rqB8CRI54nLP4Rx6XFPcJDu/AFdCkjs/wpxarNZ3uAFxzizjBFbWJFem9Jq39YHo0aLPu/JWtKL/KG3PvXBPz7+xW2NywuZ389Tk8ea9lhYwmEylPAwxrUO3ovFMqGYNKu1hE4+3KGhBeVN4js0tqnMQ4ZDWJB7qDeCKJyg5H1nD/4ZnTu30Oa+4DUe5xsFBnoy/dRs+TwiJAPgDo1f9yraH9aus3chgLHclRwEOUtX6/7QXSkYiXwc/oVHMNZGJx/Y0fGblaSWWjex/iolXmy/yVO6a4mkuDmT3J3fXdj1uVAgwUK/vKjablzfmCKn3XL6hmNo/fdx8bSVn1PRE7EuZzBoQbj6K7u3n7UW+Q8MM8EwKSBOBPdgmMPDrqUT/G3LOo+N4pFOxSK4X+kXtOMmTohkyZhcHrb+f5Wdv4EgpHbhEYkUKipCB+bq86NyQET8c5853YHfxryLRZGNsU+3Ng57GYoJdwzgA5JkD0Aa1KT2pwWCOf16l97LPjmwuG/frQGpgIk+TyJBJyvyBqkWN0UkQODoitZAMnaweCHNMT72NJbgl+U0k8wN6SfzhGs4l34jUoCMwayQVJ5zwxvSoVfMTB3zM442V7xAalnIYT0dc1YCEeJ+hX6HZHzjoVLu3bPRJleo6HDRt2LgrXzNMip0X12gPg7155KdJDJbYnpNAPi6FD37GkIXsSGcy2TaiQj1hzuKFv/nj8HCpbqjIHIMWDXy+Tcpbsde3YNZ8XQl9bTyzj5DwaGedrvr0oYE3RTiRBgt7VrNZ2/k5km7er8twNoU7MQBuZzpHzcprHR2aOw9mXZtvaumgKe6pOlryWlKnN8qtC6yFXDDHjV4gx0BqJw09owCTgnkmX7n7cz0SCYgQ2XrTYCR1i05QKptpb27aeqM6fhZ4g7JM3XWHqWTAyPrPPUWHEPP+wJFH1gzLoxXTBKtHGP0UQ+ls3Objpqv0cY/U7muUtRjrIiI3PEnpCSFIED7Z8OEkQFjhcmg7hPhH2F/DdySih0thQK8d5dxQMbDhKeQ4fFS4rcK0obbftBKaPPuWeespZyfyR31UE9of40mB5PnseKqVRsVsf35IddVyZupUK+je+lz9OCedOcH77G6m//n73oTGi+BlNwA0mZr+NTHvXDs5RfJX/HFlGAm2bPPf84vG8yZiJaCUNV43JCNrbN6Gxl/DNi+CPqd9gzsFh0Bv/eD6Ezyu3SoGf9+1MUYRSkZVHbIRFxmpTvPcoH+later/5Gk+UFFEM0cjUahmc4fpXgqmqB/rCQQ7LAz1j00kF9CqIbwHtcDO0ECz90b6sCudSGx3+w4bSUItWbn+ABgYrEm5HQEaJZq3LCClCNpSlY5ySPtTxTBdLQ61nihMx5m3eUnclXDbsFREB6qYKk7uSCBy8mqW83hBBYnNOiUsiixAjZTNjZU0psTT/xeedfei1XG0nS/fYcFA8DyiTS/j++HBHsubC7L8VPM+Hqc5rZlDMhBDx73l0cpYrH6vZ/A+1PZrhLTCctV/2w8d+KTde0V0JBeqO5JzSOCShTJT8+rL4j2d1c2XDUZ85RTvPsJgwT1H8guPnH0XIpfO8sR76KR8UXewQ8gj08DahfWJIkoptTR8HaHjwi85jMjF0Yq2Hrk/w+UGPalpGd2NtXT/vs4FJHnbKKc2AzxVvdvSuXdqGnMvQYEZfTVPdxZLltmLp+OZGb1s232REgXXpA4kVNUPz3VptZPAQYRsk7dyrf8HedNW6+el5u" style="position:absolute;left:0;text-align:left;margin-left:-89.4pt;margin-top:-94.9pt;width:5pt;height:5pt;z-index:251665408;visibility:hidden;v-text-anchor:top"/>
        </w:pict>
      </w:r>
      <w:r>
        <w:rPr>
          <w:sz w:val="32"/>
        </w:rPr>
        <w:pict>
          <v:rect id="KGD_Gobal1" o:spid="_x0000_s1043" alt="lskY7P30+39SSS2ze3CC/DayXXFbpwiFvf536IyteDYOqRPuuc0jTowurBTibkUyD5Nn/Voq1b644S991ukrwwuMqK3so2edf6hQtgY59DZ3vEz4LhHOtIcfWca+dn93whDcxB5WjRXpD3O3iH9f+ZH62cIV/7NgT5yxKQ8bm1SiKWdXYQgvqtuF+9OJTOp8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hF/RkeUf7/5lyABypKcfDe+tuR+lCSaP7id7f9YJ5zEsytAqbtMPXQSnGSmfot74rOXOmH1KumZwFfXzojxT5bsoBnUSQfxKg7G/vOUxliHmuGSJU4WCuBRZxjgFx/t6ck/wT/SjPfbniAWGhQLx0zvpc0jgU25pCWkWyqOfoZUxLfgSkOIJfhR+uMSTNc3y7y5RWH9ZmGeupFQ3WrappM/EmxjGJdCue05McaSS8Zs=" style="position:absolute;left:0;text-align:left;margin-left:-89.4pt;margin-top:-94.9pt;width:5pt;height:5pt;z-index:251664384;visibility:hidden;v-text-anchor:top"/>
        </w:pict>
      </w:r>
    </w:p>
    <w:p w:rsidR="00196D6D" w:rsidRDefault="00196D6D">
      <w:pPr>
        <w:jc w:val="center"/>
      </w:pPr>
    </w:p>
    <w:p w:rsidR="00480CDE" w:rsidRDefault="00626957">
      <w:pPr>
        <w:jc w:val="center"/>
      </w:pP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6" o:spid="_x0000_s1038" type="#_x0000_t136" style="position:absolute;left:0;text-align:left;margin-left:36.6pt;margin-top:7.8pt;width:369pt;height:48pt;z-index:251659264;mso-wrap-style:square" fillcolor="red" strokecolor="red" strokeweight="1.5pt">
            <v:shadow color="silver" offset="3pt"/>
            <v:textpath style="font-family:&quot;宋体&quot;;font-size:48pt;font-weight:bold;v-text-kern:t" trim="t" string="宁夏回族自治区司法厅"/>
          </v:shape>
        </w:pict>
      </w:r>
    </w:p>
    <w:p w:rsidR="00480CDE" w:rsidRDefault="00480CDE">
      <w:pPr>
        <w:jc w:val="center"/>
      </w:pPr>
    </w:p>
    <w:p w:rsidR="00480CDE" w:rsidRDefault="00480CDE">
      <w:pPr>
        <w:spacing w:line="1200" w:lineRule="exact"/>
        <w:jc w:val="center"/>
      </w:pPr>
    </w:p>
    <w:p w:rsidR="00480CDE" w:rsidRDefault="00480CDE">
      <w:pPr>
        <w:jc w:val="center"/>
      </w:pPr>
      <w:r>
        <w:rPr>
          <w:rFonts w:hint="eastAsia"/>
        </w:rPr>
        <w:t>宁司通〔</w:t>
      </w:r>
      <w:r>
        <w:rPr>
          <w:rFonts w:hint="eastAsia"/>
        </w:rPr>
        <w:t>2020</w:t>
      </w:r>
      <w:r>
        <w:rPr>
          <w:rFonts w:hint="eastAsia"/>
        </w:rPr>
        <w:t>〕</w:t>
      </w:r>
      <w:r>
        <w:rPr>
          <w:rFonts w:hint="eastAsia"/>
        </w:rPr>
        <w:t>1</w:t>
      </w:r>
      <w:r>
        <w:rPr>
          <w:rFonts w:hint="eastAsia"/>
        </w:rPr>
        <w:t>号</w:t>
      </w:r>
      <w:r w:rsidR="00626957">
        <w:rPr>
          <w:rFonts w:ascii="宋体" w:hAnsi="宋体"/>
          <w:color w:val="FF0000"/>
          <w:sz w:val="30"/>
          <w:szCs w:val="30"/>
        </w:rPr>
        <w:pict>
          <v:line id="直线 7" o:spid="_x0000_s1039" style="position:absolute;left:0;text-align:left;flip:y;z-index:251660288;mso-wrap-style:square;mso-position-horizontal-relative:text;mso-position-vertical-relative:text" from="0,30.8pt" to="442.2pt,30.8pt" strokecolor="red" strokeweight="1pt"/>
        </w:pict>
      </w:r>
    </w:p>
    <w:p w:rsidR="00480CDE" w:rsidRDefault="00480CDE">
      <w:pPr>
        <w:tabs>
          <w:tab w:val="left" w:pos="4739"/>
        </w:tabs>
        <w:spacing w:line="320" w:lineRule="exact"/>
        <w:rPr>
          <w:rFonts w:ascii="宋体" w:hAnsi="宋体"/>
          <w:color w:val="FF0000"/>
          <w:sz w:val="30"/>
          <w:szCs w:val="30"/>
        </w:rPr>
      </w:pPr>
    </w:p>
    <w:p w:rsidR="00480CDE" w:rsidRDefault="00480CDE">
      <w:pPr>
        <w:tabs>
          <w:tab w:val="left" w:pos="4739"/>
        </w:tabs>
        <w:rPr>
          <w:rFonts w:ascii="仿宋_GB2312" w:hAnsi="宋体"/>
          <w:szCs w:val="30"/>
        </w:rPr>
      </w:pPr>
    </w:p>
    <w:p w:rsidR="00480CDE" w:rsidRDefault="00480CDE">
      <w:pPr>
        <w:spacing w:line="520" w:lineRule="exact"/>
        <w:jc w:val="center"/>
        <w:rPr>
          <w:rFonts w:ascii="方正小标宋_GBK" w:eastAsia="方正小标宋_GBK" w:hAnsi="方正小标宋_GBK" w:cs="方正小标宋_GBK"/>
          <w:sz w:val="44"/>
          <w:szCs w:val="44"/>
        </w:rPr>
      </w:pPr>
    </w:p>
    <w:p w:rsidR="00480CDE" w:rsidRDefault="00480CDE">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关于印发《宁夏司法行政机关</w:t>
      </w:r>
    </w:p>
    <w:p w:rsidR="00480CDE" w:rsidRDefault="00480CDE">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“双随机一公开”监管工作细则》</w:t>
      </w:r>
    </w:p>
    <w:p w:rsidR="00480CDE" w:rsidRDefault="00480CDE">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等5项细则和办法的通知</w:t>
      </w:r>
    </w:p>
    <w:p w:rsidR="00480CDE" w:rsidRDefault="00480CDE">
      <w:pPr>
        <w:spacing w:line="520" w:lineRule="exact"/>
        <w:jc w:val="center"/>
        <w:rPr>
          <w:rFonts w:ascii="方正小标宋简体" w:eastAsia="方正小标宋简体" w:hAnsi="方正小标宋简体" w:cs="方正小标宋简体"/>
          <w:sz w:val="44"/>
          <w:szCs w:val="44"/>
        </w:rPr>
      </w:pPr>
    </w:p>
    <w:p w:rsidR="00480CDE" w:rsidRDefault="00480CD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各市、县（区）司法局，厅直各单位，厅机关各处（局、室）：</w:t>
      </w:r>
    </w:p>
    <w:p w:rsidR="00480CDE" w:rsidRDefault="00480CDE">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宁夏司法行政机关“双随机一公开”监管工作细则》《宁夏司法行政机关内部工作人员过问案件的记录和责任追究实施细则》《宁夏司法行政机关行政执法违法责任追究办法》《宁夏司法行政机关行政执法责任和评议考核规定》《自治区司法厅使用正版软件管理规定》等5项制度和办法，已经2019年第31次厅党委会议研究同意，现予印发，请认真贯彻落实。</w:t>
      </w:r>
    </w:p>
    <w:p w:rsidR="00480CDE" w:rsidRDefault="00480CDE">
      <w:pPr>
        <w:spacing w:line="520" w:lineRule="exact"/>
        <w:rPr>
          <w:rFonts w:ascii="仿宋_GB2312" w:eastAsia="仿宋_GB2312" w:hAnsi="仿宋_GB2312" w:cs="仿宋_GB2312"/>
          <w:sz w:val="32"/>
          <w:szCs w:val="32"/>
        </w:rPr>
      </w:pPr>
    </w:p>
    <w:p w:rsidR="00480CDE" w:rsidRDefault="00626957">
      <w:pPr>
        <w:spacing w:line="520" w:lineRule="exact"/>
        <w:ind w:firstLineChars="1600" w:firstLine="5120"/>
        <w:rPr>
          <w:rFonts w:ascii="仿宋_GB2312" w:eastAsia="仿宋_GB2312" w:hAnsi="仿宋_GB2312" w:cs="仿宋_GB2312"/>
          <w:sz w:val="32"/>
          <w:szCs w:val="32"/>
        </w:rPr>
      </w:pPr>
      <w:r>
        <w:rPr>
          <w:sz w:val="32"/>
        </w:rPr>
        <w:pict>
          <v:rect id="KG_Shd_1" o:spid="_x0000_s1049" style="position:absolute;left:0;text-align:left;margin-left:-297.65pt;margin-top:-420.95pt;width:1190.6pt;height:1683.8pt;z-index:251670528;v-text-anchor:top" strokecolor="white">
            <v:fill opacity="0"/>
            <v:stroke opacity="0"/>
          </v:rect>
        </w:pict>
      </w:r>
      <w:r w:rsidR="00480CDE">
        <w:rPr>
          <w:rFonts w:ascii="仿宋_GB2312" w:eastAsia="仿宋_GB2312" w:hAnsi="仿宋_GB2312" w:cs="仿宋_GB2312" w:hint="eastAsia"/>
          <w:sz w:val="32"/>
          <w:szCs w:val="32"/>
        </w:rPr>
        <w:t>宁夏回族自</w:t>
      </w:r>
      <w:r>
        <w:rPr>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G_5E0DB757$01$00$0000$N$000100" o:spid="_x0000_s1042" type="#_x0000_t75" alt="Seal" style="position:absolute;left:0;text-align:left;margin-left:358.2pt;margin-top:637.2pt;width:117.65pt;height:117.65pt;z-index:251663360;mso-position-horizontal-relative:page;mso-position-vertical-relative:page">
            <v:fill o:detectmouseclick="t"/>
            <v:imagedata r:id="rId7" o:title="Seal"/>
            <w10:wrap anchorx="page" anchory="page"/>
            <w10:anchorlock/>
          </v:shape>
        </w:pict>
      </w:r>
      <w:r w:rsidR="00480CDE">
        <w:rPr>
          <w:rFonts w:ascii="仿宋_GB2312" w:eastAsia="仿宋_GB2312" w:hAnsi="仿宋_GB2312" w:cs="仿宋_GB2312" w:hint="eastAsia"/>
          <w:sz w:val="32"/>
          <w:szCs w:val="32"/>
        </w:rPr>
        <w:t>治区司法厅</w:t>
      </w:r>
    </w:p>
    <w:p w:rsidR="00480CDE" w:rsidRDefault="00480CDE">
      <w:pPr>
        <w:spacing w:line="52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hAnsi="仿宋_GB2312" w:cs="仿宋_GB2312" w:hint="eastAsia"/>
          <w:sz w:val="32"/>
          <w:szCs w:val="32"/>
        </w:rPr>
        <w:t>20</w:t>
      </w:r>
      <w:r>
        <w:rPr>
          <w:rFonts w:ascii="仿宋_GB2312" w:eastAsia="仿宋_GB2312" w:hAnsi="仿宋_GB2312" w:cs="仿宋_GB2312" w:hint="eastAsia"/>
          <w:sz w:val="32"/>
          <w:szCs w:val="32"/>
        </w:rPr>
        <w:t>年1月</w:t>
      </w:r>
      <w:r>
        <w:rPr>
          <w:rFonts w:ascii="仿宋_GB2312" w:hAnsi="仿宋_GB2312" w:cs="仿宋_GB2312" w:hint="eastAsia"/>
          <w:sz w:val="32"/>
          <w:szCs w:val="32"/>
        </w:rPr>
        <w:t>2</w:t>
      </w:r>
      <w:r>
        <w:rPr>
          <w:rFonts w:ascii="仿宋_GB2312" w:eastAsia="仿宋_GB2312" w:hAnsi="仿宋_GB2312" w:cs="仿宋_GB2312" w:hint="eastAsia"/>
          <w:sz w:val="32"/>
          <w:szCs w:val="32"/>
        </w:rPr>
        <w:t>日</w:t>
      </w:r>
    </w:p>
    <w:p w:rsidR="00480CDE" w:rsidRDefault="00480CDE">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（此件依申请公开）</w:t>
      </w:r>
    </w:p>
    <w:p w:rsidR="00480CDE" w:rsidRDefault="00480CDE">
      <w:pPr>
        <w:adjustRightInd w:val="0"/>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宁夏司法行政机关“双随机一公开”</w:t>
      </w:r>
    </w:p>
    <w:p w:rsidR="00480CDE" w:rsidRDefault="00480CDE">
      <w:pPr>
        <w:adjustRightInd w:val="0"/>
        <w:snapToGrid w:val="0"/>
        <w:spacing w:line="56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监管工作细则</w:t>
      </w:r>
    </w:p>
    <w:p w:rsidR="00480CDE" w:rsidRDefault="00480CDE">
      <w:pPr>
        <w:adjustRightInd w:val="0"/>
        <w:snapToGrid w:val="0"/>
        <w:spacing w:line="560" w:lineRule="exact"/>
        <w:jc w:val="center"/>
        <w:rPr>
          <w:rFonts w:ascii="仿宋_GB2312" w:hAnsi="仿宋_GB2312" w:cs="宋体"/>
          <w:b/>
          <w:szCs w:val="32"/>
        </w:rPr>
      </w:pP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第一条</w:t>
      </w:r>
      <w:r>
        <w:rPr>
          <w:rFonts w:ascii="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为推行“双随机一公开”，规范司法行政机关事中事后监管行为，提高监管效率和执行力，根据《国务院办公厅关于推广“双随机一公开”规范事中事后监管的通知》（国办发〔2015〕58号）、《司法部关于加快推行法律服务“双随机一公开”监管工作的通知》（司发通〔2016〕104号）和</w:t>
      </w:r>
      <w:r>
        <w:rPr>
          <w:rFonts w:ascii="仿宋_GB2312" w:eastAsia="仿宋_GB2312" w:hAnsi="仿宋_GB2312" w:cs="仿宋_GB2312" w:hint="eastAsia"/>
          <w:sz w:val="32"/>
          <w:szCs w:val="32"/>
        </w:rPr>
        <w:t>《自治区人民政府办公厅关于进一步加强“双随机一公开”工作的通知》（宁政办发〔2016〕166号）</w:t>
      </w:r>
      <w:r>
        <w:rPr>
          <w:rFonts w:ascii="仿宋_GB2312" w:eastAsia="仿宋_GB2312" w:hAnsi="仿宋_GB2312" w:cs="仿宋_GB2312" w:hint="eastAsia"/>
          <w:kern w:val="0"/>
          <w:sz w:val="32"/>
          <w:szCs w:val="32"/>
        </w:rPr>
        <w:t>，结合工作实际，制定本细则。</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第二条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本细则所称“双随机一公开”，是指司法行政机关在法律服务监管中，根据法律、法规、规章的规定，随机抽取检查对象，随机选派执法检查人员，抽查情况及查处结果及时向社会公开的监管方式。</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第三条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“双随机一公开”工作应当遵循监管法定、程序正当、公正高效、公开透明原则。</w:t>
      </w:r>
    </w:p>
    <w:p w:rsidR="00480CDE" w:rsidRDefault="00480CDE">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第四条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双随机一公开”工作由司法行政机关分级负责，监管对象所对应的司法行政机关业务管理部门按照各自职能，负责组织实施，同时配合上级机关做好“双随机一公开”工作，将“双随机一公开”作为日常监管的主要方式。</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第五条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各级司法行政机关应当依照执法权限将律师、公证、司法鉴定、仲裁、法律援助、基层法律服务等列入抽查范围，并</w:t>
      </w:r>
      <w:r>
        <w:rPr>
          <w:rFonts w:ascii="仿宋_GB2312" w:eastAsia="仿宋_GB2312" w:hAnsi="仿宋_GB2312" w:cs="仿宋_GB2312" w:hint="eastAsia"/>
          <w:kern w:val="0"/>
          <w:sz w:val="32"/>
          <w:szCs w:val="32"/>
        </w:rPr>
        <w:lastRenderedPageBreak/>
        <w:t>按照业务类别建立健全抽查事项清单、执法检查人员名录库和监管对象名录库（以下简称“一单两库”）。</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“双随机一公开”抽查事项清单还应当列出抽查依据、抽查主体、事项名称、抽查内容、抽查方式。</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第六条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“一单两库”应当按照规定在自治区行政执法监督平台、司法行政门户网站和本级政府网站公开，并根据法律法规和现实情况变化进行动态调整。</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第七条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司法厅应当根据上级部署和监管工作实际制定抽查计划。抽查计划应当明确抽查范围、抽查比例、抽查方式、抽查事项和实施时间等。</w:t>
      </w:r>
    </w:p>
    <w:p w:rsidR="00480CDE" w:rsidRDefault="00480CDE">
      <w:pPr>
        <w:shd w:val="solid" w:color="FFFFFF" w:fill="auto"/>
        <w:autoSpaceDN w:val="0"/>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第八条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双随机一公开”比例不低于辖区内法律服务机构数的5%，抽查频次原则上每年不少于2次。对投诉举报较多、列入经营运行异常名录的风险等级较高、信用水平较差或存在重大隐患的法律服务机构，应当加大“双随机一公开”力度。对检查对象，适当增加抽查比例和频次。</w:t>
      </w:r>
    </w:p>
    <w:p w:rsidR="00480CDE" w:rsidRDefault="00480CDE">
      <w:pPr>
        <w:widowControl/>
        <w:shd w:val="solid" w:color="FFFFFF" w:fill="auto"/>
        <w:autoSpaceDN w:val="0"/>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第九条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 xml:space="preserve"> 司法行政机关“双随机一公开”应当结合政府确定的权力清单和行政执法权限认真组织抽查，设立抽查内容时不得缺项。</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第十条</w:t>
      </w:r>
      <w:r>
        <w:rPr>
          <w:rFonts w:ascii="仿宋_GB2312" w:hAnsi="仿宋_GB2312" w:cs="仿宋_GB2312" w:hint="eastAsia"/>
          <w:kern w:val="0"/>
          <w:szCs w:val="32"/>
        </w:rPr>
        <w:t xml:space="preserve">  </w:t>
      </w:r>
      <w:r>
        <w:rPr>
          <w:rFonts w:ascii="仿宋_GB2312" w:hAnsi="仿宋_GB2312" w:cs="仿宋_GB2312" w:hint="eastAsia"/>
          <w:kern w:val="0"/>
          <w:szCs w:val="32"/>
        </w:rPr>
        <w:t>“</w:t>
      </w:r>
      <w:r>
        <w:rPr>
          <w:rFonts w:ascii="仿宋_GB2312" w:eastAsia="仿宋_GB2312" w:hAnsi="仿宋_GB2312" w:cs="仿宋_GB2312" w:hint="eastAsia"/>
          <w:kern w:val="0"/>
          <w:sz w:val="32"/>
          <w:szCs w:val="32"/>
        </w:rPr>
        <w:t>双随机一公开”工作应当按照以下程序开展：</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（一）提出“双随机一公开”申请通过单位负责人审定；</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（二）随机摇号或电子点取等确定抽查组人员和抽查对象；</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（三）组织开展抽查；</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（四）撰写抽查报告；</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（五）抽查报告经检查组长、分管领导审定后在自治区行政执法监督平台、司法行政门户网站和本级政府网站公开，同时反馈抽查对象；</w:t>
      </w:r>
    </w:p>
    <w:p w:rsidR="00480CDE" w:rsidRDefault="00480CDE">
      <w:pPr>
        <w:widowControl/>
        <w:adjustRightInd w:val="0"/>
        <w:snapToGrid w:val="0"/>
        <w:spacing w:line="560" w:lineRule="exact"/>
        <w:ind w:firstLineChars="200" w:firstLine="640"/>
        <w:jc w:val="left"/>
        <w:rPr>
          <w:rFonts w:ascii="仿宋_GB2312" w:hAnsi="仿宋_GB2312" w:cs="仿宋_GB2312"/>
          <w:kern w:val="0"/>
          <w:szCs w:val="32"/>
        </w:rPr>
      </w:pPr>
      <w:r>
        <w:rPr>
          <w:rFonts w:ascii="仿宋_GB2312" w:eastAsia="仿宋_GB2312" w:hAnsi="仿宋_GB2312" w:cs="仿宋_GB2312" w:hint="eastAsia"/>
          <w:kern w:val="0"/>
          <w:sz w:val="32"/>
          <w:szCs w:val="32"/>
        </w:rPr>
        <w:t xml:space="preserve">（六）法制机构备案。 </w:t>
      </w:r>
      <w:r>
        <w:rPr>
          <w:rFonts w:ascii="仿宋_GB2312" w:hAnsi="仿宋_GB2312" w:cs="仿宋_GB2312" w:hint="eastAsia"/>
          <w:kern w:val="0"/>
          <w:szCs w:val="32"/>
        </w:rPr>
        <w:t xml:space="preserve"> </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第十一条  </w:t>
      </w:r>
      <w:r>
        <w:rPr>
          <w:rFonts w:ascii="仿宋_GB2312" w:eastAsia="仿宋_GB2312" w:hAnsi="仿宋_GB2312" w:cs="仿宋_GB2312" w:hint="eastAsia"/>
          <w:kern w:val="0"/>
          <w:sz w:val="32"/>
          <w:szCs w:val="32"/>
        </w:rPr>
        <w:t>抽查开始前，根据抽查对象类型，从相应检查人员名录库中随机抽取2名以上检查人员组成检查组。执法检查人员不能满足本区域内开展“双随机一公开”工作需要的，可以采取申请上一级司法行政机关委派、上下联合等方式，或与相邻区域执法检查人员进行随机匹配。检查组人员与抽查对象有利害关系的，应当予以回避。</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第十二条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司法厅有关业务部门可先随机选择辖区，在选中的辖区中随机选择抽查对象。市、县（区）司法局因辖区内法律服务机构少的，按照“双随机一公开”确定的频次，对法律服务机构进行检查。</w:t>
      </w:r>
    </w:p>
    <w:p w:rsidR="00480CDE" w:rsidRDefault="00480CDE">
      <w:pPr>
        <w:widowControl/>
        <w:shd w:val="solid" w:color="FFFFFF" w:fill="auto"/>
        <w:autoSpaceDN w:val="0"/>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第十三条  </w:t>
      </w:r>
      <w:r>
        <w:rPr>
          <w:rFonts w:ascii="仿宋_GB2312" w:eastAsia="仿宋_GB2312" w:hAnsi="仿宋_GB2312" w:cs="仿宋_GB2312" w:hint="eastAsia"/>
          <w:kern w:val="0"/>
          <w:sz w:val="32"/>
          <w:szCs w:val="32"/>
        </w:rPr>
        <w:t>司法行政机关应当在抽查工作结束后5个工作日内，完成抽查报告。抽查报告应当包括抽查时间、抽查内容、抽查对象数量、抽查情况、对抽查对象评价和处理意见建议等内容，抽查报告由执法承办机构撰写。</w:t>
      </w:r>
    </w:p>
    <w:p w:rsidR="00480CDE" w:rsidRDefault="00480CDE">
      <w:pPr>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第十四条  </w:t>
      </w:r>
      <w:r>
        <w:rPr>
          <w:rFonts w:ascii="仿宋_GB2312" w:eastAsia="仿宋_GB2312" w:hAnsi="仿宋_GB2312" w:cs="仿宋_GB2312" w:hint="eastAsia"/>
          <w:kern w:val="0"/>
          <w:sz w:val="32"/>
          <w:szCs w:val="32"/>
        </w:rPr>
        <w:t>司法行政机关应当在抽查报告完成后5个工作日内，向被抽查对象反馈抽查结果。反馈抽查结果，可以采取直接送达、邮寄送达或在自治区行政执法监督平台、司法行政门户网站公开的方式。</w:t>
      </w:r>
    </w:p>
    <w:p w:rsidR="00480CDE" w:rsidRDefault="00480CDE">
      <w:pPr>
        <w:spacing w:line="560" w:lineRule="exact"/>
        <w:jc w:val="left"/>
        <w:rPr>
          <w:rFonts w:ascii="仿宋_GB2312" w:eastAsia="仿宋_GB2312" w:hAnsi="仿宋_GB2312" w:cs="仿宋_GB2312"/>
          <w:sz w:val="32"/>
          <w:szCs w:val="32"/>
        </w:rPr>
      </w:pPr>
      <w:r>
        <w:rPr>
          <w:rFonts w:ascii="仿宋_GB2312" w:hAnsi="仿宋_GB2312" w:cs="仿宋_GB2312" w:hint="eastAsia"/>
          <w:kern w:val="0"/>
          <w:szCs w:val="32"/>
        </w:rPr>
        <w:t xml:space="preserve">       </w:t>
      </w:r>
      <w:r>
        <w:rPr>
          <w:rFonts w:ascii="黑体" w:eastAsia="黑体" w:hAnsi="黑体" w:cs="黑体" w:hint="eastAsia"/>
          <w:kern w:val="0"/>
          <w:sz w:val="32"/>
          <w:szCs w:val="32"/>
        </w:rPr>
        <w:t xml:space="preserve">第十五条  </w:t>
      </w:r>
      <w:r>
        <w:rPr>
          <w:rFonts w:ascii="仿宋_GB2312" w:eastAsia="仿宋_GB2312" w:hAnsi="仿宋_GB2312" w:cs="仿宋_GB2312" w:hint="eastAsia"/>
          <w:sz w:val="32"/>
          <w:szCs w:val="32"/>
        </w:rPr>
        <w:t>按照“谁抽查、谁录入，谁查处、谁录入”的原</w:t>
      </w:r>
      <w:r>
        <w:rPr>
          <w:rFonts w:ascii="仿宋_GB2312" w:eastAsia="仿宋_GB2312" w:hAnsi="仿宋_GB2312" w:cs="仿宋_GB2312" w:hint="eastAsia"/>
          <w:sz w:val="32"/>
          <w:szCs w:val="32"/>
        </w:rPr>
        <w:lastRenderedPageBreak/>
        <w:t>则，“双随机一公开”工作抽查结果在抽查工作完成后的</w:t>
      </w:r>
      <w:r>
        <w:rPr>
          <w:rFonts w:ascii="仿宋_GB2312" w:hAnsi="仿宋_GB2312" w:cs="仿宋_GB2312" w:hint="eastAsia"/>
          <w:sz w:val="32"/>
          <w:szCs w:val="32"/>
        </w:rPr>
        <w:t>10</w:t>
      </w:r>
      <w:r>
        <w:rPr>
          <w:rFonts w:ascii="仿宋_GB2312" w:eastAsia="仿宋_GB2312" w:hAnsi="仿宋_GB2312" w:cs="仿宋_GB2312" w:hint="eastAsia"/>
          <w:sz w:val="32"/>
          <w:szCs w:val="32"/>
        </w:rPr>
        <w:t>个工作日内</w:t>
      </w:r>
      <w:r>
        <w:rPr>
          <w:rFonts w:ascii="仿宋_GB2312" w:hAnsi="仿宋_GB2312" w:cs="仿宋_GB2312" w:hint="eastAsia"/>
          <w:sz w:val="32"/>
          <w:szCs w:val="32"/>
        </w:rPr>
        <w:t>，</w:t>
      </w:r>
      <w:r>
        <w:rPr>
          <w:rFonts w:ascii="仿宋_GB2312" w:eastAsia="仿宋_GB2312" w:hAnsi="仿宋_GB2312" w:cs="仿宋_GB2312" w:hint="eastAsia"/>
          <w:sz w:val="32"/>
          <w:szCs w:val="32"/>
        </w:rPr>
        <w:t>在自治区行政执法监督平台和</w:t>
      </w:r>
      <w:r>
        <w:rPr>
          <w:rFonts w:ascii="仿宋_GB2312" w:hAnsi="仿宋_GB2312" w:cs="仿宋_GB2312" w:hint="eastAsia"/>
          <w:sz w:val="32"/>
          <w:szCs w:val="32"/>
        </w:rPr>
        <w:t>司法行政</w:t>
      </w:r>
      <w:r>
        <w:rPr>
          <w:rFonts w:ascii="仿宋_GB2312" w:eastAsia="仿宋_GB2312" w:hAnsi="仿宋_GB2312" w:cs="仿宋_GB2312" w:hint="eastAsia"/>
          <w:sz w:val="32"/>
          <w:szCs w:val="32"/>
        </w:rPr>
        <w:t>门户网站公开。</w:t>
      </w:r>
    </w:p>
    <w:p w:rsidR="00480CDE" w:rsidRDefault="00480CDE">
      <w:pPr>
        <w:widowControl/>
        <w:spacing w:line="560" w:lineRule="exact"/>
        <w:ind w:firstLineChars="200" w:firstLine="640"/>
        <w:jc w:val="left"/>
        <w:rPr>
          <w:rFonts w:ascii="仿宋_GB2312" w:hAnsi="仿宋_GB2312" w:cs="仿宋_GB231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“双随机一公开”工作抽查结果</w:t>
      </w:r>
      <w:r>
        <w:rPr>
          <w:rFonts w:ascii="仿宋_GB2312" w:hAnsi="仿宋_GB2312" w:cs="仿宋_GB2312" w:hint="eastAsia"/>
          <w:sz w:val="32"/>
          <w:szCs w:val="32"/>
        </w:rPr>
        <w:t>应当</w:t>
      </w:r>
      <w:r>
        <w:rPr>
          <w:rFonts w:ascii="仿宋_GB2312" w:eastAsia="仿宋_GB2312" w:hAnsi="仿宋_GB2312" w:cs="仿宋_GB2312" w:hint="eastAsia"/>
          <w:sz w:val="32"/>
          <w:szCs w:val="32"/>
        </w:rPr>
        <w:t>纳入监管对象的社会信用记录。</w:t>
      </w:r>
    </w:p>
    <w:p w:rsidR="00480CDE" w:rsidRDefault="00480CDE">
      <w:pPr>
        <w:pStyle w:val="1"/>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第十六条  </w:t>
      </w:r>
      <w:r>
        <w:rPr>
          <w:rFonts w:ascii="仿宋_GB2312" w:eastAsia="仿宋_GB2312" w:hAnsi="仿宋_GB2312" w:cs="仿宋_GB2312" w:hint="eastAsia"/>
          <w:kern w:val="0"/>
          <w:sz w:val="32"/>
          <w:szCs w:val="32"/>
        </w:rPr>
        <w:t>抽查人员应当依照法定程序严格执法、认真抽查，遵守相关保密规定。对抽查中发现的问题，按照“谁监管、谁负责”的原则，及时移交违法线索，并对整改情况进行跟踪监管，防止监管脱节。对涉嫌犯罪的，应当及时移交司法机关。</w:t>
      </w: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第十七条 </w:t>
      </w:r>
      <w:r>
        <w:rPr>
          <w:rFonts w:ascii="仿宋_GB2312" w:eastAsia="仿宋_GB2312" w:hAnsi="仿宋_GB2312" w:cs="仿宋_GB2312" w:hint="eastAsia"/>
          <w:kern w:val="0"/>
          <w:sz w:val="32"/>
          <w:szCs w:val="32"/>
        </w:rPr>
        <w:t xml:space="preserve"> “双随机一公开”工作应当接受社会、公督，注重实际工作效果，促进法律服务机构和执业人员规范服务、自觉守法。</w:t>
      </w:r>
    </w:p>
    <w:p w:rsidR="00480CDE" w:rsidRDefault="00480CDE">
      <w:pPr>
        <w:spacing w:line="560" w:lineRule="exact"/>
        <w:jc w:val="left"/>
        <w:rPr>
          <w:rFonts w:ascii="仿宋_GB2312" w:eastAsia="仿宋_GB2312" w:hAnsi="仿宋_GB2312" w:cs="仿宋_GB2312"/>
          <w:kern w:val="0"/>
          <w:sz w:val="32"/>
          <w:szCs w:val="32"/>
        </w:rPr>
      </w:pPr>
      <w:r>
        <w:rPr>
          <w:rFonts w:ascii="黑体" w:eastAsia="黑体" w:hAnsi="黑体" w:cs="黑体" w:hint="eastAsia"/>
          <w:kern w:val="0"/>
          <w:sz w:val="32"/>
          <w:szCs w:val="32"/>
        </w:rPr>
        <w:t xml:space="preserve">   十八条</w:t>
      </w:r>
      <w:r>
        <w:rPr>
          <w:rFonts w:ascii="仿宋_GB2312" w:hAnsi="仿宋_GB2312" w:cs="仿宋_GB2312" w:hint="eastAsia"/>
          <w:kern w:val="0"/>
          <w:szCs w:val="32"/>
        </w:rPr>
        <w:t xml:space="preserve">  </w:t>
      </w:r>
      <w:r>
        <w:rPr>
          <w:rFonts w:ascii="仿宋_GB2312" w:eastAsia="仿宋_GB2312" w:hAnsi="仿宋_GB2312" w:cs="仿宋_GB2312" w:hint="eastAsia"/>
          <w:kern w:val="0"/>
          <w:sz w:val="32"/>
          <w:szCs w:val="32"/>
        </w:rPr>
        <w:t>本细则自印发之日起施行。《关于印发&lt;自治区司法厅法律服务“双随机一公开”抽查工作细则（试行）&gt;的通知》 （宁司通〔2017〕43号）同时废止。</w:t>
      </w:r>
    </w:p>
    <w:p w:rsidR="00480CDE" w:rsidRDefault="00480CDE">
      <w:pPr>
        <w:widowControl/>
        <w:adjustRightInd w:val="0"/>
        <w:snapToGrid w:val="0"/>
        <w:spacing w:line="560" w:lineRule="exact"/>
        <w:ind w:firstLine="640"/>
        <w:jc w:val="left"/>
        <w:rPr>
          <w:rFonts w:ascii="仿宋_GB2312" w:hAnsi="仿宋_GB2312" w:cs="仿宋_GB2312"/>
          <w:kern w:val="0"/>
          <w:szCs w:val="32"/>
        </w:rPr>
      </w:pPr>
    </w:p>
    <w:p w:rsidR="00480CDE" w:rsidRDefault="00480CDE">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附件：1.宁夏司法行政机关“双随机一公开”抽查事项清单</w:t>
      </w:r>
    </w:p>
    <w:p w:rsidR="00480CDE" w:rsidRDefault="00480CDE">
      <w:pPr>
        <w:widowControl/>
        <w:adjustRightInd w:val="0"/>
        <w:snapToGrid w:val="0"/>
        <w:spacing w:line="560" w:lineRule="exact"/>
        <w:ind w:firstLineChars="500" w:firstLine="16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2.宁夏法律服务机构“双随机一公开”抽查记录表</w:t>
      </w:r>
    </w:p>
    <w:p w:rsidR="00480CDE" w:rsidRDefault="00480CDE">
      <w:pPr>
        <w:widowControl/>
        <w:adjustRightInd w:val="0"/>
        <w:snapToGrid w:val="0"/>
        <w:spacing w:line="560" w:lineRule="exact"/>
        <w:jc w:val="left"/>
        <w:rPr>
          <w:rFonts w:ascii="仿宋_GB2312" w:eastAsia="仿宋_GB2312" w:hAnsi="仿宋_GB2312" w:cs="仿宋_GB2312"/>
          <w:kern w:val="0"/>
          <w:sz w:val="32"/>
          <w:szCs w:val="32"/>
        </w:rPr>
      </w:pPr>
      <w:bookmarkStart w:id="0" w:name="keyword"/>
      <w:bookmarkEnd w:id="0"/>
      <w:r>
        <w:rPr>
          <w:rFonts w:ascii="仿宋_GB2312" w:eastAsia="仿宋_GB2312" w:hAnsi="仿宋_GB2312" w:cs="仿宋_GB2312" w:hint="eastAsia"/>
          <w:kern w:val="0"/>
          <w:sz w:val="32"/>
          <w:szCs w:val="32"/>
        </w:rPr>
        <w:t xml:space="preserve">         </w:t>
      </w:r>
      <w:r w:rsidR="00196D6D">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3.宁夏法律服务人员“双随机一公开”抽查记录表</w:t>
      </w:r>
    </w:p>
    <w:p w:rsidR="00480CDE" w:rsidRDefault="00480CDE" w:rsidP="00E77366">
      <w:pPr>
        <w:pStyle w:val="a9"/>
        <w:spacing w:before="0" w:beforeAutospacing="0" w:after="0" w:afterAutospacing="0" w:line="560" w:lineRule="exact"/>
        <w:ind w:firstLineChars="500" w:firstLine="1600"/>
        <w:rPr>
          <w:rStyle w:val="a4"/>
          <w:rFonts w:ascii="仿宋" w:eastAsia="仿宋" w:hAnsi="仿宋" w:cs="仿宋"/>
          <w:b w:val="0"/>
          <w:color w:val="000000"/>
          <w:sz w:val="32"/>
          <w:szCs w:val="32"/>
        </w:rPr>
      </w:pPr>
    </w:p>
    <w:p w:rsidR="00480CDE" w:rsidRDefault="00480CDE" w:rsidP="00E77366">
      <w:pPr>
        <w:pStyle w:val="a9"/>
        <w:spacing w:before="0" w:beforeAutospacing="0" w:after="0" w:afterAutospacing="0" w:line="33" w:lineRule="atLeast"/>
        <w:ind w:firstLineChars="500" w:firstLine="1600"/>
        <w:rPr>
          <w:rStyle w:val="a4"/>
          <w:rFonts w:ascii="仿宋" w:eastAsia="仿宋" w:hAnsi="仿宋" w:cs="仿宋"/>
          <w:b w:val="0"/>
          <w:color w:val="000000"/>
          <w:sz w:val="32"/>
          <w:szCs w:val="32"/>
        </w:rPr>
      </w:pPr>
    </w:p>
    <w:p w:rsidR="00F248E7" w:rsidRDefault="00F248E7" w:rsidP="00E77366">
      <w:pPr>
        <w:pStyle w:val="a9"/>
        <w:spacing w:before="0" w:beforeAutospacing="0" w:after="0" w:afterAutospacing="0" w:line="33" w:lineRule="atLeast"/>
        <w:ind w:firstLineChars="500" w:firstLine="1600"/>
        <w:rPr>
          <w:rStyle w:val="a4"/>
          <w:rFonts w:ascii="仿宋" w:eastAsia="仿宋" w:hAnsi="仿宋" w:cs="仿宋"/>
          <w:b w:val="0"/>
          <w:color w:val="000000"/>
          <w:sz w:val="32"/>
          <w:szCs w:val="32"/>
        </w:rPr>
      </w:pPr>
      <w:bookmarkStart w:id="1" w:name="_GoBack"/>
      <w:bookmarkEnd w:id="1"/>
    </w:p>
    <w:sectPr w:rsidR="00F248E7" w:rsidSect="00196D6D">
      <w:headerReference w:type="default" r:id="rId8"/>
      <w:footerReference w:type="even" r:id="rId9"/>
      <w:footerReference w:type="default" r:id="rId10"/>
      <w:pgSz w:w="11906" w:h="16838"/>
      <w:pgMar w:top="2098" w:right="1474" w:bottom="1588"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57" w:rsidRDefault="00626957">
      <w:r>
        <w:separator/>
      </w:r>
    </w:p>
  </w:endnote>
  <w:endnote w:type="continuationSeparator" w:id="0">
    <w:p w:rsidR="00626957" w:rsidRDefault="0062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w:panose1 w:val="03000509000000000000"/>
    <w:charset w:val="86"/>
    <w:family w:val="script"/>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Malgun Gothic Semi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FD60AC">
    <w:pPr>
      <w:pStyle w:val="a6"/>
      <w:framePr w:wrap="around" w:vAnchor="text" w:hAnchor="margin" w:xAlign="right" w:y="1"/>
      <w:rPr>
        <w:rStyle w:val="a3"/>
      </w:rPr>
    </w:pPr>
    <w:r>
      <w:fldChar w:fldCharType="begin"/>
    </w:r>
    <w:r>
      <w:rPr>
        <w:rStyle w:val="a3"/>
      </w:rPr>
      <w:instrText xml:space="preserve">PAGE  </w:instrText>
    </w:r>
    <w:r>
      <w:fldChar w:fldCharType="separate"/>
    </w:r>
    <w:r w:rsidR="00196D6D">
      <w:rPr>
        <w:rStyle w:val="a3"/>
        <w:noProof/>
      </w:rPr>
      <w:t>- 4 -</w:t>
    </w:r>
    <w:r>
      <w:fldChar w:fldCharType="end"/>
    </w:r>
  </w:p>
  <w:p w:rsidR="003D09DA" w:rsidRDefault="003D09D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626957">
    <w:pPr>
      <w:pStyle w:val="a6"/>
      <w:ind w:right="360"/>
    </w:pPr>
    <w:r>
      <w:pict>
        <v:shapetype id="_x0000_t202" coordsize="21600,21600" o:spt="202" path="m,l,21600r21600,l21600,xe">
          <v:stroke joinstyle="miter"/>
          <v:path gradientshapeok="t" o:connecttype="rect"/>
        </v:shapetype>
        <v:shape id="文本框 1025" o:spid="_x0000_s2049" type="#_x0000_t202" style="position:absolute;margin-left:464pt;margin-top:0;width:2in;height:2in;z-index:251659264;mso-wrap-style:none;mso-position-horizontal:right;mso-position-horizontal-relative:margin;v-text-anchor:top" filled="f" stroked="f">
          <v:fill o:detectmouseclick="t"/>
          <v:textbox style="mso-fit-shape-to-text:t" inset="0,0,0,0">
            <w:txbxContent>
              <w:p w:rsidR="003D09DA" w:rsidRDefault="00FD60AC">
                <w:pPr>
                  <w:pStyle w:val="a6"/>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196D6D">
                  <w:rPr>
                    <w:rStyle w:val="a3"/>
                    <w:rFonts w:ascii="宋体" w:hAnsi="宋体"/>
                    <w:noProof/>
                    <w:sz w:val="28"/>
                    <w:szCs w:val="28"/>
                  </w:rPr>
                  <w:t>- 5 -</w:t>
                </w:r>
                <w:r>
                  <w:rPr>
                    <w:rFonts w:ascii="宋体" w:hAnsi="宋体"/>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57" w:rsidRDefault="00626957">
      <w:r>
        <w:separator/>
      </w:r>
    </w:p>
  </w:footnote>
  <w:footnote w:type="continuationSeparator" w:id="0">
    <w:p w:rsidR="00626957" w:rsidRDefault="0062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DA" w:rsidRDefault="003D09D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4C78A9"/>
    <w:multiLevelType w:val="singleLevel"/>
    <w:tmpl w:val="E14C78A9"/>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26"/>
    <w:rsid w:val="00196D6D"/>
    <w:rsid w:val="003D09DA"/>
    <w:rsid w:val="00420A58"/>
    <w:rsid w:val="00421422"/>
    <w:rsid w:val="00423426"/>
    <w:rsid w:val="00480CDE"/>
    <w:rsid w:val="00542ABB"/>
    <w:rsid w:val="005C6CEC"/>
    <w:rsid w:val="005D45C2"/>
    <w:rsid w:val="00626957"/>
    <w:rsid w:val="006975D1"/>
    <w:rsid w:val="007D37C0"/>
    <w:rsid w:val="00941674"/>
    <w:rsid w:val="00B256FF"/>
    <w:rsid w:val="00BD7DA9"/>
    <w:rsid w:val="00E5621A"/>
    <w:rsid w:val="00F248E7"/>
    <w:rsid w:val="00F765A3"/>
    <w:rsid w:val="00FD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650997-3723-4B48-A643-7C7076D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80CDE"/>
    <w:rPr>
      <w:rFonts w:ascii="Calibri" w:eastAsia="宋体" w:hAnsi="Calibri" w:cs="Times New Roman"/>
      <w:szCs w:val="20"/>
    </w:rPr>
  </w:style>
  <w:style w:type="character" w:styleId="a4">
    <w:name w:val="Strong"/>
    <w:basedOn w:val="a0"/>
    <w:qFormat/>
    <w:rsid w:val="00480CDE"/>
    <w:rPr>
      <w:rFonts w:ascii="Calibri" w:eastAsia="宋体" w:hAnsi="Calibri" w:cs="Times New Roman"/>
      <w:b/>
      <w:szCs w:val="20"/>
    </w:rPr>
  </w:style>
  <w:style w:type="character" w:customStyle="1" w:styleId="Char">
    <w:name w:val="页眉 Char"/>
    <w:basedOn w:val="a0"/>
    <w:link w:val="a5"/>
    <w:rsid w:val="00480CDE"/>
    <w:rPr>
      <w:sz w:val="18"/>
      <w:szCs w:val="18"/>
    </w:rPr>
  </w:style>
  <w:style w:type="character" w:customStyle="1" w:styleId="font01">
    <w:name w:val="font01"/>
    <w:basedOn w:val="a0"/>
    <w:rsid w:val="00480CDE"/>
    <w:rPr>
      <w:rFonts w:ascii="方正小标宋简体" w:eastAsia="方正小标宋简体" w:hAnsi="方正小标宋简体" w:cs="方正小标宋简体"/>
      <w:color w:val="000000"/>
      <w:sz w:val="36"/>
      <w:szCs w:val="36"/>
      <w:u w:val="none"/>
    </w:rPr>
  </w:style>
  <w:style w:type="character" w:customStyle="1" w:styleId="Char0">
    <w:name w:val="页脚 Char"/>
    <w:basedOn w:val="a0"/>
    <w:link w:val="a6"/>
    <w:uiPriority w:val="99"/>
    <w:rsid w:val="00480CDE"/>
    <w:rPr>
      <w:sz w:val="18"/>
      <w:szCs w:val="18"/>
    </w:rPr>
  </w:style>
  <w:style w:type="paragraph" w:styleId="a7">
    <w:name w:val="Normal Indent"/>
    <w:basedOn w:val="a"/>
    <w:rsid w:val="00480CDE"/>
    <w:pPr>
      <w:ind w:firstLineChars="200" w:firstLine="200"/>
    </w:pPr>
    <w:rPr>
      <w:rFonts w:ascii="Times New Roman" w:eastAsia="宋体" w:hAnsi="Times New Roman" w:cs="Times New Roman"/>
      <w:szCs w:val="24"/>
    </w:rPr>
  </w:style>
  <w:style w:type="paragraph" w:styleId="a5">
    <w:name w:val="header"/>
    <w:basedOn w:val="a"/>
    <w:link w:val="Char"/>
    <w:rsid w:val="00480CDE"/>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sid w:val="00480CDE"/>
    <w:rPr>
      <w:sz w:val="18"/>
      <w:szCs w:val="18"/>
    </w:rPr>
  </w:style>
  <w:style w:type="paragraph" w:styleId="a8">
    <w:name w:val="annotation text"/>
    <w:basedOn w:val="a"/>
    <w:link w:val="Char2"/>
    <w:rsid w:val="00480CDE"/>
    <w:pPr>
      <w:jc w:val="left"/>
    </w:pPr>
    <w:rPr>
      <w:rFonts w:ascii="Calibri" w:eastAsia="宋体" w:hAnsi="Calibri" w:cs="Times New Roman"/>
      <w:szCs w:val="24"/>
    </w:rPr>
  </w:style>
  <w:style w:type="character" w:customStyle="1" w:styleId="Char2">
    <w:name w:val="批注文字 Char"/>
    <w:basedOn w:val="a0"/>
    <w:link w:val="a8"/>
    <w:rsid w:val="00480CDE"/>
    <w:rPr>
      <w:rFonts w:ascii="Calibri" w:eastAsia="宋体" w:hAnsi="Calibri" w:cs="Times New Roman"/>
      <w:szCs w:val="24"/>
    </w:rPr>
  </w:style>
  <w:style w:type="paragraph" w:styleId="a6">
    <w:name w:val="footer"/>
    <w:basedOn w:val="a"/>
    <w:link w:val="Char0"/>
    <w:uiPriority w:val="99"/>
    <w:rsid w:val="00480CDE"/>
    <w:pPr>
      <w:tabs>
        <w:tab w:val="center" w:pos="4153"/>
        <w:tab w:val="right" w:pos="8306"/>
      </w:tabs>
      <w:snapToGrid w:val="0"/>
      <w:jc w:val="left"/>
    </w:pPr>
    <w:rPr>
      <w:sz w:val="18"/>
      <w:szCs w:val="18"/>
    </w:rPr>
  </w:style>
  <w:style w:type="character" w:customStyle="1" w:styleId="Char10">
    <w:name w:val="页脚 Char1"/>
    <w:basedOn w:val="a0"/>
    <w:uiPriority w:val="99"/>
    <w:semiHidden/>
    <w:rsid w:val="00480CDE"/>
    <w:rPr>
      <w:sz w:val="18"/>
      <w:szCs w:val="18"/>
    </w:rPr>
  </w:style>
  <w:style w:type="paragraph" w:styleId="a9">
    <w:name w:val="Normal (Web)"/>
    <w:basedOn w:val="a"/>
    <w:rsid w:val="00480CDE"/>
    <w:pPr>
      <w:widowControl/>
      <w:spacing w:before="100" w:beforeAutospacing="1" w:after="100" w:afterAutospacing="1"/>
      <w:jc w:val="left"/>
    </w:pPr>
    <w:rPr>
      <w:rFonts w:ascii="宋体" w:eastAsia="宋体" w:hAnsi="宋体" w:cs="宋体"/>
      <w:kern w:val="0"/>
      <w:sz w:val="24"/>
      <w:szCs w:val="24"/>
    </w:rPr>
  </w:style>
  <w:style w:type="paragraph" w:customStyle="1" w:styleId="1">
    <w:name w:val="普通(网站)1"/>
    <w:basedOn w:val="a"/>
    <w:rsid w:val="00480CDE"/>
    <w:rPr>
      <w:rFonts w:ascii="Calibri" w:eastAsia="宋体" w:hAnsi="Calibri" w:cs="Times New Roman"/>
      <w:sz w:val="24"/>
      <w:szCs w:val="20"/>
    </w:rPr>
  </w:style>
  <w:style w:type="paragraph" w:customStyle="1" w:styleId="Char3">
    <w:name w:val="Char"/>
    <w:basedOn w:val="a"/>
    <w:qFormat/>
    <w:rsid w:val="00480CDE"/>
    <w:pPr>
      <w:spacing w:line="360" w:lineRule="auto"/>
      <w:ind w:firstLineChars="200" w:firstLine="200"/>
    </w:pPr>
    <w:rPr>
      <w:rFonts w:ascii="Calibri" w:eastAsia="宋体" w:hAnsi="Calibri" w:cs="Times New Roman"/>
      <w:szCs w:val="20"/>
    </w:rPr>
  </w:style>
  <w:style w:type="table" w:styleId="aa">
    <w:name w:val="Table Grid"/>
    <w:basedOn w:val="a1"/>
    <w:rsid w:val="00480CD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4"/>
    <w:rsid w:val="00480CDE"/>
    <w:rPr>
      <w:rFonts w:ascii="Times New Roman" w:eastAsia="仿宋_GB2312" w:hAnsi="Times New Roman" w:cs="Times New Roman"/>
      <w:sz w:val="18"/>
      <w:szCs w:val="18"/>
    </w:rPr>
  </w:style>
  <w:style w:type="character" w:customStyle="1" w:styleId="Char4">
    <w:name w:val="批注框文本 Char"/>
    <w:basedOn w:val="a0"/>
    <w:link w:val="ab"/>
    <w:rsid w:val="00480CDE"/>
    <w:rPr>
      <w:rFonts w:ascii="Times New Roman" w:eastAsia="仿宋_GB2312" w:hAnsi="Times New Roman" w:cs="Times New Roman"/>
      <w:sz w:val="18"/>
      <w:szCs w:val="18"/>
    </w:rPr>
  </w:style>
  <w:style w:type="character" w:styleId="ac">
    <w:name w:val="annotation reference"/>
    <w:basedOn w:val="a0"/>
    <w:uiPriority w:val="99"/>
    <w:semiHidden/>
    <w:unhideWhenUsed/>
    <w:rsid w:val="0042142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17</cp:revision>
  <dcterms:created xsi:type="dcterms:W3CDTF">2020-01-09T06:19:00Z</dcterms:created>
  <dcterms:modified xsi:type="dcterms:W3CDTF">2020-01-17T08:29:00Z</dcterms:modified>
</cp:coreProperties>
</file>