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Style w:val="6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Style w:val="6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Style w:val="6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Style w:val="6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Style w:val="6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Style w:val="6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Style w:val="6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Style w:val="6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Style w:val="6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西教体函发〔2020〕154号</w:t>
      </w: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 w:firstLine="600" w:firstLineChars="200"/>
        <w:jc w:val="both"/>
        <w:textAlignment w:val="auto"/>
        <w:rPr>
          <w:rStyle w:val="6"/>
          <w:rFonts w:ascii="宋体" w:hAnsi="宋体" w:eastAsia="宋体"/>
          <w:kern w:val="2"/>
          <w:sz w:val="30"/>
          <w:szCs w:val="30"/>
          <w:lang w:val="en-US" w:eastAsia="zh-CN" w:bidi="ar-SA"/>
        </w:rPr>
      </w:pPr>
    </w:p>
    <w:p>
      <w:pPr>
        <w:pStyle w:val="11"/>
        <w:widowControl/>
        <w:kinsoku/>
        <w:wordWrap/>
        <w:overflowPunct/>
        <w:autoSpaceDN/>
        <w:bidi w:val="0"/>
        <w:spacing w:before="0" w:after="0" w:line="520" w:lineRule="exact"/>
        <w:ind w:left="0" w:leftChars="0" w:right="0" w:rightChars="0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Style w:val="5"/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关于进一步规范中小学学籍管理工作的</w:t>
      </w:r>
    </w:p>
    <w:p>
      <w:pPr>
        <w:pStyle w:val="11"/>
        <w:widowControl/>
        <w:kinsoku/>
        <w:wordWrap/>
        <w:overflowPunct/>
        <w:autoSpaceDN/>
        <w:bidi w:val="0"/>
        <w:spacing w:before="0" w:after="0" w:line="520" w:lineRule="exact"/>
        <w:ind w:left="0" w:leftChars="0" w:right="0" w:rightChars="0"/>
        <w:jc w:val="center"/>
        <w:textAlignment w:val="auto"/>
        <w:rPr>
          <w:rStyle w:val="6"/>
          <w:rFonts w:ascii="方正小标宋简体" w:hAnsi="方正小标宋简体" w:eastAsia="方正小标宋简体"/>
          <w:kern w:val="0"/>
          <w:sz w:val="44"/>
          <w:szCs w:val="44"/>
          <w:lang w:val="en-US" w:eastAsia="zh-CN"/>
        </w:rPr>
      </w:pPr>
      <w:r>
        <w:rPr>
          <w:rStyle w:val="5"/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通知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</w:pP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/>
        <w:jc w:val="left"/>
        <w:textAlignment w:val="auto"/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各学校：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/>
        <w:jc w:val="left"/>
        <w:textAlignment w:val="auto"/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 xml:space="preserve">    为切实加强学籍管理，维护正常的教育教学秩序,根据国家、自治区中小学学籍管理规定，现就进一步规范全县中小学学籍管理工作通知如下：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黑体" w:hAnsi="宋体" w:eastAsia="黑体"/>
          <w:kern w:val="2"/>
          <w:sz w:val="32"/>
          <w:szCs w:val="32"/>
          <w:lang w:val="en-US" w:eastAsia="zh-CN"/>
        </w:rPr>
        <w:t>一、高度重视学籍管理的重要性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/>
        <w:jc w:val="both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417" w:bottom="1440" w:left="1417" w:header="851" w:footer="992" w:gutter="0"/>
          <w:paperSrc/>
          <w:lnNumType w:countBy="0"/>
          <w:pgNumType w:fmt="numberInDash"/>
          <w:cols w:space="425" w:num="1"/>
          <w:docGrid w:type="lines" w:linePitch="312" w:charSpace="0"/>
        </w:sectPr>
      </w:pPr>
      <w:r>
        <w:rPr>
          <w:rStyle w:val="6"/>
          <w:rFonts w:ascii="黑体" w:hAnsi="宋体" w:eastAsia="黑体"/>
          <w:kern w:val="2"/>
          <w:sz w:val="32"/>
          <w:szCs w:val="32"/>
          <w:lang w:val="en-US" w:eastAsia="zh-CN"/>
        </w:rPr>
        <w:t xml:space="preserve">   </w:t>
      </w: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 xml:space="preserve"> 学籍是教育经费投入、招生录取、控制大班额、残疾儿童接受教育、控辍保学、学生资助等的基础，是学生体质监测结果记录、综合素质评价、教科书征订、毕业证发放的依据，不仅关系到学生的切身利益，更是维护学校正常教育教学秩序、保障学校客观公平地考核学生学业成绩、提高办</w:t>
      </w:r>
      <w:bookmarkStart w:id="0" w:name="_GoBack"/>
      <w:bookmarkEnd w:id="0"/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学水平的重要保证。近年来，随着流动人口子女的增多，学籍管理难度不断加大。各学校要高度重视，严格把握政策，不断增强规则意识、风险意识，对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/>
        <w:jc w:val="both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学生学籍变动情况做到底数清、统计准，努力提高学籍管理的水平，切实保障学籍管理工作规范有序进行。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黑体" w:hAnsi="宋体" w:eastAsia="黑体"/>
          <w:kern w:val="2"/>
          <w:sz w:val="32"/>
          <w:szCs w:val="32"/>
          <w:lang w:val="en-US" w:eastAsia="zh-CN"/>
        </w:rPr>
        <w:t>二、规范管理，严格落实学籍管理政策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楷体_GB2312" w:hAnsi="楷体_GB2312" w:eastAsia="楷体_GB2312" w:cs="楷体_GB2312"/>
          <w:b/>
          <w:bCs/>
          <w:kern w:val="2"/>
          <w:sz w:val="21"/>
          <w:szCs w:val="24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（一）严格落实“人籍一致”“籍随人走”要求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严格落实学籍管理“人籍一致”“籍随人走”的相关规定，办理转学时，“先办理转学手续、后转人”，转学手续是否办理完成，以学籍平台学籍异动完成为准。各学校要对在校学生学籍情况进行全面核查，对人籍不一致的及时办理转学手续或退回原学校。除特殊教育学校学生外，任何学校不得接收未按规定办理入学或转学手续的学生就读，对于出现人籍不符情况的，学校要逐一作出说明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“人籍不一致”主要包括“在籍不在校”和“在校不在籍”两类学生。各学校要根据学籍系统中学生名单，以班级为单位逐班核对排摸，认真筛查“在籍不在校”和“在校不在籍”学生，立即调查原因，有效采取整改措施（附件1）。每学期开学一周内各学校排摸上报基础教育室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“在籍不在校”学生。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属于确认已转到外校就读的学生，要督促学生家长尽快办理学籍转接手续；属于不具备转学条件而外出的学生，要督促学生家长尽快让学生回校就读；属于重度残疾不能到校的学生，要组织教师送教上门服务；属于确认疑似辍学无法联系，或多次劝说仍不返校的学生，学校要上报学生户籍所在地乡镇政府，由乡镇政府向辍学学生家长发放《义务教育阶段学生限期复学通知书》，督促其及时复学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“在校不在籍”学生。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属于符合入学或转学条件的学生，及时办理就读手续；属于违规招收或转入的学生，要及时予以清退，严禁学生擅自旁听借读；属于没有户口的学生，动员家长及时办理户口登记。各学校要及时整改人籍分离、空挂学籍、学籍造假等现象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楷体_GB2312" w:hAnsi="Times New Roman" w:eastAsia="楷体_GB2312" w:cs="楷体_GB2312"/>
          <w:b/>
          <w:bCs/>
          <w:kern w:val="2"/>
          <w:sz w:val="32"/>
          <w:szCs w:val="32"/>
          <w:lang w:val="en-US" w:eastAsia="zh-CN"/>
        </w:rPr>
        <w:t>（二）严格转学管理</w:t>
      </w: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 w:firstLine="643" w:firstLineChars="200"/>
        <w:jc w:val="both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Times New Roman" w:eastAsia="仿宋_GB2312"/>
          <w:b/>
          <w:kern w:val="2"/>
          <w:sz w:val="32"/>
          <w:szCs w:val="32"/>
          <w:lang w:val="en-US" w:eastAsia="zh-CN"/>
        </w:rPr>
        <w:t>1.严格转学条件。</w:t>
      </w: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因家庭住址变化、户口迁移、学生父母或其他法定监护人工作调动等因素确需转学的，由学生或其父母、其他法定监护人提出申请，经转入和转出学校同意，并报县教育体育局学籍管理中心确认，可办理学籍异动。起始年级、毕业年级学生一般不准转学。大班额班级学校原则上不接收转入学生。</w:t>
      </w: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 w:firstLine="643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Times New Roman" w:eastAsia="仿宋_GB2312"/>
          <w:b/>
          <w:kern w:val="2"/>
          <w:sz w:val="32"/>
          <w:szCs w:val="32"/>
          <w:lang w:val="en-US" w:eastAsia="zh-CN"/>
        </w:rPr>
        <w:t>2.规范办理时间。</w:t>
      </w: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实行集中办理，原则上每年两次，在每学期开学后的前10个工作日由学校提出申请，县教育体育局学籍管理中心统一审核，审核通过并办理转学手续后予以接收。</w:t>
      </w: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 w:firstLine="643" w:firstLineChars="200"/>
        <w:jc w:val="left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Times New Roman" w:eastAsia="仿宋_GB2312"/>
          <w:b/>
          <w:kern w:val="2"/>
          <w:sz w:val="32"/>
          <w:szCs w:val="32"/>
          <w:lang w:val="en-US" w:eastAsia="zh-CN"/>
        </w:rPr>
        <w:t>3.严格城区学校转入手续。</w:t>
      </w: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对于申请转入城区学校的学生，</w:t>
      </w: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严格按照本校招生入学条件进行初审，对于不符合入学条件的，跟家长做好解释，并合理分流，初审合格后，接收学校带材料原件和申报表报县教育体育局学籍管理中心审核，经审核合格的予以办理转学手续。</w:t>
      </w: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城区学校要严格控制班额，对于已无空余学位的学校，原则上不得接收转入学生。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Times New Roman" w:eastAsia="仿宋_GB2312"/>
          <w:b/>
          <w:kern w:val="2"/>
          <w:sz w:val="32"/>
          <w:szCs w:val="32"/>
          <w:lang w:val="en-US" w:eastAsia="zh-CN"/>
        </w:rPr>
        <w:t>4.加强网上信息管理。</w:t>
      </w: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凡经教育体育局审批同意转入的学生，双方学校应及时在学籍平台提交申请，一周内完成电子档案的办理。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rPr>
          <w:rStyle w:val="6"/>
          <w:rFonts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楷体_GB2312" w:hAnsi="Times New Roman" w:eastAsia="楷体_GB2312" w:cs="楷体_GB2312"/>
          <w:b/>
          <w:bCs/>
          <w:kern w:val="2"/>
          <w:sz w:val="32"/>
          <w:szCs w:val="32"/>
          <w:lang w:val="en-US" w:eastAsia="zh-CN"/>
        </w:rPr>
        <w:t>（三）严格休复学管理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1.学生因伤病和本人不可抗拒原因确需休学的，应由学生本人及其家长提出书面申请，填写《宁夏中小学生休学复学申请表》，提供县级以上（含县级）医疗机构开具的诊断证明、病历和相关费用单据，因不可抗拒原因休学的，需出具公安或民政、人社等部门的证明，由学校初审后报县教育体育局学籍管理中心审批，并在学籍管理系统中提交休学申请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2.休学办理时间为每学期开学两周内（突发及特殊情况除外），对于已休学学生，学校要建立工作台帐，休学期满后，由其本人或法定监护人向学校提出书面复学申请，并提供原就诊医疗机构出具的康复证明。学校审核同意后，在学籍系统中提交复学申请，并提供复学申请、康复证明、原休学核办表到县学籍管理中心核办后，方可复学。学生复学后，由学校编入相应年级就读。休学期满，尚不能如期复学的，可申请继续休学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3.各学校要严格按照</w:t>
      </w:r>
      <w:r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《自治区教育厅关于印发&lt;宁夏中小学生学籍管理办法实施细则（修订）&gt;的通知》</w:t>
      </w: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相关要求办理休复学，办理时提前在下一年级内预留空余学位，严防因学生复学出现新的大班额问题。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rPr>
          <w:rStyle w:val="6"/>
          <w:rFonts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楷体_GB2312" w:hAnsi="Times New Roman" w:eastAsia="楷体_GB2312" w:cs="楷体_GB2312"/>
          <w:b/>
          <w:bCs/>
          <w:kern w:val="2"/>
          <w:sz w:val="32"/>
          <w:szCs w:val="32"/>
          <w:lang w:val="en-US" w:eastAsia="zh-CN"/>
        </w:rPr>
        <w:t>（四）严格执行学籍信息修改手续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根据学籍政策，学籍信息修改的依据是户籍信息，任何学籍信息的修改必须以户籍信息为基础，户籍信息未更改的，一律不得进行学籍信息修改。学籍信息中的姓名和身份证号不能全部修改，身份证号只能修改一次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普通中小学学籍信息修改，需提报以下材料：修改姓名、性别、民族的，提供户口本（原件、复印件1份）；销户后重新落户需修改身份证号的，提供户口本（原件、复印件1份）、销户证明（原件）。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Style w:val="6"/>
          <w:rFonts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（五）建立疑似失学对象劝返复学长效机制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由于受地理环境、家庭经济或思想观念等因素影响，仍有学生出现疑似失学辍学，其中残疾儿童少年、留守儿童、孤儿和单亲家庭学生较为突出，按学段分初中生较多。各学校要全面掌控辖区户籍生入学状况，严格落实</w:t>
      </w:r>
      <w:r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  <w:t>“12357”控辍保学长效工作机制，</w:t>
      </w: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与当地政府共同采取劝返复学措施，保障辖区适龄儿童少年依法接受义务教育。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黑体" w:hAnsi="宋体" w:eastAsia="黑体"/>
          <w:kern w:val="2"/>
          <w:sz w:val="32"/>
          <w:szCs w:val="32"/>
          <w:lang w:val="en-US" w:eastAsia="zh-CN"/>
        </w:rPr>
        <w:t>三、有关要求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楷体_GB2312" w:hAnsi="Times New Roman" w:eastAsia="楷体_GB2312" w:cs="楷体_GB2312"/>
          <w:b/>
          <w:bCs/>
          <w:kern w:val="2"/>
          <w:sz w:val="32"/>
          <w:szCs w:val="32"/>
          <w:lang w:val="en-US" w:eastAsia="zh-CN"/>
        </w:rPr>
        <w:t>（一）加强学籍管理员队伍建设。</w:t>
      </w: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各学校要切实提高认识，把学籍管理作为一项重要工作来抓。学校分管学籍副校长要熟练掌握学籍管理规定，加强学籍人员管理，选拔责任心强、业务水平高的人员担任学籍管理员，并确保队伍稳定。建立学籍管理常态化培训机制，定期开展学籍知识培训。完善教师绩效考核办法，适当增加学籍管理人员考核权重，充分调动学籍管理员工作积极性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楷体_GB2312" w:hAnsi="Times New Roman" w:eastAsia="楷体_GB2312" w:cs="楷体_GB2312"/>
          <w:b/>
          <w:bCs/>
          <w:kern w:val="2"/>
          <w:sz w:val="32"/>
          <w:szCs w:val="32"/>
          <w:lang w:val="en-US" w:eastAsia="zh-CN"/>
        </w:rPr>
        <w:t>（二）强化信息安全管理。</w:t>
      </w: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>建立严格的学籍保密制度，非经学籍主管部门书面批准，学籍信息一律不得向外提供，严防学籍信息外泄和滥用。对于学生身份证号、家庭住址、出生年月、监护人工作单位、联系电话等信息，坚决不能外传。每学年，学校要和学籍管理员签定安全保密承诺书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（三）严格落实“一次办好”工作要求</w:t>
      </w:r>
      <w:r>
        <w:rPr>
          <w:rStyle w:val="6"/>
          <w:rFonts w:ascii="楷体_GB2312" w:hAnsi="Times New Roman" w:eastAsia="楷体_GB2312" w:cs="楷体_GB2312"/>
          <w:b/>
          <w:bCs/>
          <w:kern w:val="2"/>
          <w:sz w:val="32"/>
          <w:szCs w:val="32"/>
          <w:lang w:val="en-US" w:eastAsia="zh-CN"/>
        </w:rPr>
        <w:t>。</w:t>
      </w: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各学校要切实增强服务意识，进一步简化学籍业务办理流程，积极做好宣传、引导和服务工作，除家长提供相关材料原件到学校现场审核一次外，其他审核流程全部由所在学校统一按照程序办理。对跨省、市转学、升学的，根据外省、市需求积极提供相关材料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楷体_GB2312" w:hAnsi="Times New Roman" w:eastAsia="楷体_GB2312" w:cs="楷体_GB2312"/>
          <w:b/>
          <w:bCs/>
          <w:kern w:val="2"/>
          <w:sz w:val="32"/>
          <w:szCs w:val="32"/>
          <w:lang w:val="en-US" w:eastAsia="zh-CN"/>
        </w:rPr>
        <w:t>（四）加强监督检查，实行责任追究。</w:t>
      </w: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对转学、休复学等学籍异动办理，各学校要认真审查，严格履行审批手续。县教育体育局将根据学籍系统中学生名单，加大监督检查力度，定期不定期开展学生学籍管理“人籍不一致”专项督查，凡有下列情形之一的，县教育体育局将责令限期整改和通报批评，约谈主要负责人，情节严重的，将追究相关人员责任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1.未按规定对学生学籍进行及时录入、变动和上报；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2.填写、上报学籍数据和相关信息弄虚作假的；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3.伪造、改动学籍数据的；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4.不能及时为学生办理入学、转学、休学、复学、升学、毕业等项手续的；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5.为不符合转学、休学条件的学生签字、盖章的；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6.有意刁难学生转学，使得流动人口随迁子女延误或不能及时入学的；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  <w:t>7.违反学籍管理的有关规定，影响学籍数据准确、完整或学生权益的其他事项。</w:t>
      </w:r>
    </w:p>
    <w:p>
      <w:pPr>
        <w:kinsoku/>
        <w:wordWrap/>
        <w:overflowPunct/>
        <w:autoSpaceDN/>
        <w:bidi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Times New Roman" w:eastAsia="仿宋_GB2312"/>
          <w:kern w:val="2"/>
          <w:sz w:val="32"/>
          <w:szCs w:val="32"/>
          <w:lang w:val="en-US" w:eastAsia="zh-CN"/>
        </w:rPr>
      </w:pPr>
    </w:p>
    <w:p>
      <w:pPr>
        <w:kinsoku/>
        <w:wordWrap/>
        <w:overflowPunct/>
        <w:autoSpaceDN/>
        <w:bidi w:val="0"/>
        <w:spacing w:line="52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 xml:space="preserve">                          </w:t>
      </w:r>
    </w:p>
    <w:p>
      <w:pPr>
        <w:kinsoku/>
        <w:wordWrap/>
        <w:overflowPunct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</w:pPr>
    </w:p>
    <w:p>
      <w:pPr>
        <w:kinsoku/>
        <w:wordWrap/>
        <w:overflowPunct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 xml:space="preserve">                         西吉县教育体育局 </w:t>
      </w:r>
    </w:p>
    <w:p>
      <w:pPr>
        <w:widowControl/>
        <w:kinsoku/>
        <w:wordWrap/>
        <w:overflowPunct/>
        <w:autoSpaceDN/>
        <w:bidi w:val="0"/>
        <w:spacing w:line="560" w:lineRule="exact"/>
        <w:ind w:left="0" w:leftChars="0" w:right="0" w:rightChars="0"/>
        <w:jc w:val="left"/>
        <w:textAlignment w:val="auto"/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Calibri" w:eastAsia="仿宋_GB2312"/>
          <w:kern w:val="2"/>
          <w:sz w:val="32"/>
          <w:szCs w:val="32"/>
          <w:lang w:val="en-US" w:eastAsia="zh-CN"/>
        </w:rPr>
        <w:t xml:space="preserve">                              2020年3月12日</w:t>
      </w:r>
    </w:p>
    <w:sectPr>
      <w:footerReference r:id="rId5" w:type="default"/>
      <w:pgSz w:w="11906" w:h="16838"/>
      <w:pgMar w:top="1440" w:right="1417" w:bottom="1440" w:left="1417" w:header="851" w:footer="992" w:gutter="0"/>
      <w:paperSrc/>
      <w:lnNumType w:countBy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ascii="Times New Roman" w:hAnsi="Times New Roman" w:eastAsia="宋体"/>
        <w:kern w:val="2"/>
        <w:sz w:val="18"/>
        <w:szCs w:val="24"/>
        <w:lang w:val="en-US" w:eastAsia="zh-CN" w:bidi="ar-SA"/>
      </w:rPr>
    </w:pPr>
    <w:r>
      <w:rPr>
        <w:rStyle w:val="6"/>
        <w:rFonts w:ascii="Times New Roman" w:hAnsi="Times New Roman" w:eastAsia="宋体"/>
        <w:kern w:val="2"/>
        <w:sz w:val="18"/>
        <w:szCs w:val="24"/>
        <w:lang w:val="en-US" w:eastAsia="zh-CN" w:bidi="ar-SA"/>
      </w:rPr>
      <w:pict>
        <v:shape id="_x0000_s2049" o:spid="_x0000_s2049" o:spt="202" type="#_x0000_t202" style="position:absolute;left:0pt;margin-left:199.4pt;margin-top:0pt;height:144pt;width:144pt;mso-position-horizontal-relative:margin;z-index:524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snapToGrid w:val="0"/>
                  <w:jc w:val="center"/>
                  <w:textAlignment w:val="baseline"/>
                  <w:rPr>
                    <w:rStyle w:val="6"/>
                    <w:rFonts w:ascii="宋体" w:hAnsi="宋体" w:eastAsia="宋体"/>
                    <w:kern w:val="2"/>
                    <w:sz w:val="28"/>
                    <w:szCs w:val="28"/>
                    <w:lang w:val="en-US" w:eastAsia="zh-CN" w:bidi="ar-SA"/>
                  </w:rPr>
                </w:pPr>
              </w:p>
              <w:p>
                <w:pPr>
                  <w:jc w:val="both"/>
                  <w:textAlignment w:val="baseline"/>
                  <w:rPr>
                    <w:rStyle w:val="6"/>
                    <w:rFonts w:ascii="Times New Roman" w:hAnsi="Times New Roman" w:eastAsia="宋体"/>
                    <w:kern w:val="2"/>
                    <w:sz w:val="21"/>
                    <w:szCs w:val="24"/>
                    <w:lang w:val="en-US" w:eastAsia="zh-CN" w:bidi="ar-SA"/>
                  </w:rPr>
                </w:pPr>
              </w:p>
            </w:txbxContent>
          </v:textbox>
        </v:shape>
      </w:pict>
    </w:r>
    <w:r>
      <w:rPr>
        <w:rStyle w:val="6"/>
        <w:rFonts w:ascii="Times New Roman" w:hAnsi="Times New Roman" w:eastAsia="宋体"/>
        <w:kern w:val="2"/>
        <w:sz w:val="18"/>
        <w:szCs w:val="24"/>
        <w:lang w:val="en-US" w:eastAsia="zh-CN" w:bidi="ar-SA"/>
      </w:rPr>
      <w:t xml:space="preserve">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ascii="Times New Roman" w:hAnsi="Times New Roman" w:eastAsia="宋体"/>
        <w:kern w:val="2"/>
        <w:sz w:val="18"/>
        <w:szCs w:val="24"/>
        <w:lang w:val="en-US" w:eastAsia="zh-CN" w:bidi="ar-SA"/>
      </w:rPr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525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Style w:val="6"/>
        <w:rFonts w:ascii="Times New Roman" w:hAnsi="Times New Roman" w:eastAsia="宋体"/>
        <w:kern w:val="2"/>
        <w:sz w:val="18"/>
        <w:szCs w:val="24"/>
        <w:lang w:val="en-US" w:eastAsia="zh-CN" w:bidi="ar-SA"/>
      </w:rPr>
      <w:pict>
        <v:shape id="_x0000_s2052" o:spid="_x0000_s2052" o:spt="202" type="#_x0000_t202" style="position:absolute;left:0pt;margin-left:199.4pt;margin-top:0pt;height:144pt;width:144pt;mso-position-horizontal-relative:margin;z-index:524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snapToGrid w:val="0"/>
                  <w:jc w:val="center"/>
                  <w:textAlignment w:val="baseline"/>
                  <w:rPr>
                    <w:rStyle w:val="6"/>
                    <w:rFonts w:ascii="宋体" w:hAnsi="宋体" w:eastAsia="宋体"/>
                    <w:kern w:val="2"/>
                    <w:sz w:val="28"/>
                    <w:szCs w:val="28"/>
                    <w:lang w:val="en-US" w:eastAsia="zh-CN" w:bidi="ar-SA"/>
                  </w:rPr>
                </w:pPr>
              </w:p>
              <w:p>
                <w:pPr>
                  <w:jc w:val="both"/>
                  <w:textAlignment w:val="baseline"/>
                  <w:rPr>
                    <w:rStyle w:val="6"/>
                    <w:rFonts w:ascii="Times New Roman" w:hAnsi="Times New Roman" w:eastAsia="宋体"/>
                    <w:kern w:val="2"/>
                    <w:sz w:val="21"/>
                    <w:szCs w:val="24"/>
                    <w:lang w:val="en-US" w:eastAsia="zh-CN" w:bidi="ar-SA"/>
                  </w:rPr>
                </w:pPr>
              </w:p>
            </w:txbxContent>
          </v:textbox>
        </v:shape>
      </w:pict>
    </w:r>
    <w:r>
      <w:rPr>
        <w:rStyle w:val="6"/>
        <w:rFonts w:ascii="Times New Roman" w:hAnsi="Times New Roman" w:eastAsia="宋体"/>
        <w:kern w:val="2"/>
        <w:sz w:val="18"/>
        <w:szCs w:val="24"/>
        <w:lang w:val="en-US" w:eastAsia="zh-CN" w:bidi="ar-SA"/>
      </w:rPr>
      <w:t xml:space="preserve">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6"/>
        <w:rFonts w:ascii="DejaVu Sans" w:hAnsi="DejaVu Sans" w:eastAsia="宋体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5F1D49C2"/>
    <w:rsid w:val="FE9B14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DejaVu Sans" w:hAnsi="DejaVu Sans" w:eastAsia="宋体"/>
      <w:kern w:val="2"/>
      <w:sz w:val="18"/>
      <w:szCs w:val="24"/>
      <w:lang w:val="en-US" w:eastAsia="zh-CN" w:bidi="ar-SA"/>
    </w:rPr>
  </w:style>
  <w:style w:type="character" w:styleId="5">
    <w:name w:val="Strong"/>
    <w:basedOn w:val="6"/>
    <w:link w:val="1"/>
    <w:qFormat/>
    <w:uiPriority w:val="0"/>
    <w:rPr>
      <w:b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8">
    <w:name w:val="TableNormal"/>
    <w:semiHidden/>
    <w:uiPriority w:val="0"/>
  </w:style>
  <w:style w:type="character" w:customStyle="1" w:styleId="9">
    <w:name w:val="UserStyle_0"/>
    <w:basedOn w:val="6"/>
    <w:link w:val="1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10">
    <w:name w:val="UserStyle_1"/>
    <w:basedOn w:val="6"/>
    <w:link w:val="1"/>
    <w:qFormat/>
    <w:uiPriority w:val="0"/>
    <w:rPr>
      <w:rFonts w:ascii="仿宋_GB2312" w:eastAsia="仿宋_GB2312"/>
      <w:color w:val="000000"/>
      <w:sz w:val="28"/>
      <w:szCs w:val="28"/>
    </w:r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 textRotate="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专业版_10.1.0.6280_F1E327BC-269C-435d-A152-05C5408002CA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2020-12-11T22:55:29Z</dcterms:created>
  <dc:creator>emind</dc:creator>
  <cp:lastModifiedBy>emind</cp:lastModifiedBy>
  <cp:lastPrinted>2020-12-11T22:58:39Z</cp:lastPrinted>
  <dcterms:modified xsi:type="dcterms:W3CDTF">2020-12-11T23:00:05Z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2052-10.1.0.6280</vt:lpwstr>
  </property>
</Properties>
</file>