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adjustRightInd w:val="0"/>
        <w:snapToGrid w:val="0"/>
        <w:spacing w:line="364" w:lineRule="auto"/>
        <w:ind w:firstLine="883" w:firstLineChars="200"/>
        <w:jc w:val="center"/>
        <w:rPr>
          <w:rFonts w:ascii="方正小标宋简体" w:hAnsi="仿宋" w:cs="宋体" w:eastAsiaTheme="minorEastAsia"/>
          <w:b/>
          <w:color w:val="000000"/>
          <w:sz w:val="44"/>
          <w:szCs w:val="44"/>
        </w:rPr>
      </w:pPr>
      <w:r>
        <w:rPr>
          <w:rFonts w:hint="eastAsia" w:ascii="方正小标宋简体" w:hAnsi="仿宋" w:eastAsia="方正小标宋简体" w:cs="宋体"/>
          <w:b/>
          <w:color w:val="000000"/>
          <w:sz w:val="44"/>
          <w:szCs w:val="44"/>
        </w:rPr>
        <w:t>西吉县202</w:t>
      </w:r>
      <w:r>
        <w:rPr>
          <w:rFonts w:hint="eastAsia" w:ascii="方正小标宋简体" w:hAnsi="仿宋" w:eastAsia="方正小标宋简体" w:cs="宋体"/>
          <w:b/>
          <w:color w:val="000000"/>
          <w:sz w:val="44"/>
          <w:szCs w:val="44"/>
          <w:lang w:val="en-US" w:eastAsia="zh-CN"/>
        </w:rPr>
        <w:t>3</w:t>
      </w:r>
      <w:r>
        <w:rPr>
          <w:rFonts w:hint="eastAsia" w:ascii="方正小标宋简体" w:hAnsi="仿宋" w:eastAsia="方正小标宋简体" w:cs="宋体"/>
          <w:b/>
          <w:color w:val="000000"/>
          <w:sz w:val="44"/>
          <w:szCs w:val="44"/>
        </w:rPr>
        <w:t>年第四季度关于用户水龙头水水质监测结果公示</w:t>
      </w:r>
    </w:p>
    <w:p>
      <w:pPr>
        <w:widowControl/>
        <w:snapToGrid w:val="0"/>
        <w:spacing w:line="520" w:lineRule="exact"/>
        <w:ind w:firstLine="645"/>
        <w:jc w:val="left"/>
        <w:rPr>
          <w:rFonts w:ascii="仿宋" w:hAnsi="仿宋" w:eastAsia="仿宋"/>
          <w:sz w:val="32"/>
          <w:szCs w:val="32"/>
        </w:rPr>
      </w:pPr>
      <w:r>
        <w:rPr>
          <w:rFonts w:hint="eastAsia" w:ascii="仿宋" w:hAnsi="仿宋" w:eastAsia="仿宋"/>
          <w:sz w:val="32"/>
          <w:szCs w:val="32"/>
        </w:rPr>
        <w:t>根据《自治区卫生计生委办公室关于做好全区城乡集中式饮用水龙头水水质监测及信息公开工作的通知（试行）》（宁卫计办发【2018】85号）文件的通知精神，西吉县疾控中心对我县集中式饮用水水质卫生进行采样检测，现将</w:t>
      </w:r>
      <w:r>
        <w:rPr>
          <w:rFonts w:hint="eastAsia" w:ascii="仿宋" w:hAnsi="仿宋" w:eastAsia="仿宋"/>
          <w:sz w:val="32"/>
          <w:szCs w:val="32"/>
          <w:lang w:val="en-US" w:eastAsia="zh-CN"/>
        </w:rPr>
        <w:t>县城</w:t>
      </w:r>
      <w:r>
        <w:rPr>
          <w:rFonts w:hint="eastAsia" w:ascii="仿宋" w:hAnsi="仿宋" w:eastAsia="仿宋"/>
          <w:sz w:val="32"/>
          <w:szCs w:val="32"/>
        </w:rPr>
        <w:t>6份用户水龙头水16项检测指标监测信息结果予以公示。</w:t>
      </w:r>
    </w:p>
    <w:p>
      <w:pPr>
        <w:widowControl/>
        <w:snapToGrid w:val="0"/>
        <w:spacing w:line="520" w:lineRule="exact"/>
        <w:ind w:firstLine="645"/>
        <w:jc w:val="left"/>
        <w:rPr>
          <w:rFonts w:hint="eastAsia" w:ascii="仿宋" w:hAnsi="仿宋" w:eastAsia="仿宋"/>
          <w:sz w:val="32"/>
          <w:szCs w:val="32"/>
        </w:rPr>
      </w:pPr>
      <w:r>
        <w:rPr>
          <w:rFonts w:hint="eastAsia" w:ascii="仿宋" w:hAnsi="仿宋" w:eastAsia="仿宋"/>
          <w:sz w:val="32"/>
          <w:szCs w:val="32"/>
        </w:rPr>
        <w:t>附件：西吉县202</w:t>
      </w:r>
      <w:r>
        <w:rPr>
          <w:rFonts w:hint="eastAsia" w:ascii="仿宋" w:hAnsi="仿宋" w:eastAsia="仿宋"/>
          <w:sz w:val="32"/>
          <w:szCs w:val="32"/>
          <w:lang w:val="en-US" w:eastAsia="zh-CN"/>
        </w:rPr>
        <w:t>3</w:t>
      </w:r>
      <w:r>
        <w:rPr>
          <w:rFonts w:hint="eastAsia" w:ascii="仿宋" w:hAnsi="仿宋" w:eastAsia="仿宋"/>
          <w:sz w:val="32"/>
          <w:szCs w:val="32"/>
        </w:rPr>
        <w:t>年第四季度用户水龙头水水质监测结果</w:t>
      </w:r>
    </w:p>
    <w:p>
      <w:pPr>
        <w:widowControl/>
        <w:snapToGrid w:val="0"/>
        <w:spacing w:line="520" w:lineRule="exact"/>
        <w:ind w:firstLine="645"/>
        <w:jc w:val="left"/>
        <w:rPr>
          <w:rFonts w:hint="eastAsia" w:ascii="仿宋" w:hAnsi="仿宋" w:eastAsia="仿宋"/>
          <w:sz w:val="32"/>
          <w:szCs w:val="32"/>
        </w:rPr>
      </w:pPr>
    </w:p>
    <w:p>
      <w:pPr>
        <w:widowControl/>
        <w:snapToGrid w:val="0"/>
        <w:spacing w:line="520" w:lineRule="exact"/>
        <w:ind w:firstLine="645"/>
        <w:jc w:val="left"/>
        <w:rPr>
          <w:rFonts w:ascii="仿宋" w:hAnsi="仿宋" w:eastAsia="仿宋" w:cs="宋体"/>
          <w:color w:val="000000"/>
          <w:sz w:val="32"/>
          <w:szCs w:val="32"/>
        </w:rPr>
      </w:pPr>
    </w:p>
    <w:p>
      <w:pPr>
        <w:widowControl/>
        <w:snapToGrid w:val="0"/>
        <w:spacing w:line="520" w:lineRule="exact"/>
        <w:rPr>
          <w:rFonts w:ascii="仿宋" w:hAnsi="仿宋" w:eastAsia="仿宋" w:cs="宋体"/>
          <w:color w:val="000000"/>
          <w:sz w:val="32"/>
          <w:szCs w:val="32"/>
        </w:rPr>
      </w:pPr>
      <w:r>
        <w:rPr>
          <w:rFonts w:hint="eastAsia" w:ascii="仿宋" w:hAnsi="仿宋" w:eastAsia="仿宋" w:cs="宋体"/>
          <w:color w:val="000000"/>
          <w:sz w:val="32"/>
          <w:szCs w:val="32"/>
        </w:rPr>
        <w:t xml:space="preserve">  </w:t>
      </w:r>
    </w:p>
    <w:p>
      <w:pPr>
        <w:widowControl/>
        <w:snapToGrid w:val="0"/>
        <w:spacing w:line="520" w:lineRule="exact"/>
        <w:rPr>
          <w:rFonts w:ascii="仿宋" w:hAnsi="仿宋" w:eastAsia="仿宋" w:cs="宋体"/>
          <w:color w:val="000000"/>
          <w:sz w:val="32"/>
          <w:szCs w:val="32"/>
        </w:rPr>
      </w:pPr>
    </w:p>
    <w:p>
      <w:pPr>
        <w:widowControl/>
        <w:snapToGrid w:val="0"/>
        <w:spacing w:line="520" w:lineRule="exact"/>
        <w:rPr>
          <w:rFonts w:ascii="仿宋" w:hAnsi="仿宋" w:eastAsia="仿宋" w:cs="宋体"/>
          <w:color w:val="000000"/>
          <w:sz w:val="32"/>
          <w:szCs w:val="32"/>
        </w:rPr>
      </w:pPr>
      <w:r>
        <w:rPr>
          <w:rFonts w:hint="eastAsia" w:ascii="仿宋" w:hAnsi="仿宋" w:eastAsia="仿宋" w:cs="宋体"/>
          <w:color w:val="000000"/>
          <w:sz w:val="32"/>
          <w:szCs w:val="32"/>
        </w:rPr>
        <w:t xml:space="preserve">                                              西吉县卫生健康局</w:t>
      </w:r>
    </w:p>
    <w:p>
      <w:pPr>
        <w:widowControl/>
        <w:snapToGrid w:val="0"/>
        <w:spacing w:line="520" w:lineRule="exact"/>
        <w:rPr>
          <w:rFonts w:ascii="仿宋" w:hAnsi="仿宋" w:eastAsia="仿宋" w:cs="宋体"/>
          <w:color w:val="000000"/>
          <w:sz w:val="32"/>
          <w:szCs w:val="32"/>
        </w:rPr>
      </w:pPr>
      <w:r>
        <w:rPr>
          <w:rFonts w:hint="eastAsia" w:ascii="仿宋" w:hAnsi="仿宋" w:eastAsia="仿宋" w:cs="宋体"/>
          <w:color w:val="000000"/>
          <w:sz w:val="32"/>
          <w:szCs w:val="32"/>
        </w:rPr>
        <w:t xml:space="preserve">                                              2023年</w:t>
      </w:r>
      <w:r>
        <w:rPr>
          <w:rFonts w:hint="eastAsia" w:ascii="仿宋" w:hAnsi="仿宋" w:eastAsia="仿宋" w:cs="宋体"/>
          <w:color w:val="000000"/>
          <w:sz w:val="32"/>
          <w:szCs w:val="32"/>
          <w:lang w:val="en-US" w:eastAsia="zh-CN"/>
        </w:rPr>
        <w:t>12</w:t>
      </w:r>
      <w:r>
        <w:rPr>
          <w:rFonts w:hint="eastAsia" w:ascii="仿宋" w:hAnsi="仿宋" w:eastAsia="仿宋" w:cs="宋体"/>
          <w:color w:val="000000"/>
          <w:sz w:val="32"/>
          <w:szCs w:val="32"/>
        </w:rPr>
        <w:t>月</w:t>
      </w:r>
      <w:r>
        <w:rPr>
          <w:rFonts w:hint="eastAsia" w:ascii="仿宋" w:hAnsi="仿宋" w:eastAsia="仿宋" w:cs="宋体"/>
          <w:color w:val="000000"/>
          <w:sz w:val="32"/>
          <w:szCs w:val="32"/>
          <w:lang w:val="en-US" w:eastAsia="zh-CN"/>
        </w:rPr>
        <w:t>20</w:t>
      </w:r>
      <w:r>
        <w:rPr>
          <w:rFonts w:hint="eastAsia" w:ascii="仿宋" w:hAnsi="仿宋" w:eastAsia="仿宋" w:cs="宋体"/>
          <w:color w:val="000000"/>
          <w:sz w:val="32"/>
          <w:szCs w:val="32"/>
        </w:rPr>
        <w:t>日</w:t>
      </w:r>
    </w:p>
    <w:p>
      <w:pPr>
        <w:widowControl/>
        <w:snapToGrid w:val="0"/>
        <w:spacing w:line="520" w:lineRule="exact"/>
        <w:rPr>
          <w:rFonts w:ascii="仿宋" w:hAnsi="仿宋" w:eastAsia="仿宋" w:cs="宋体"/>
          <w:color w:val="000000"/>
          <w:sz w:val="32"/>
          <w:szCs w:val="32"/>
        </w:rPr>
      </w:pPr>
      <w:r>
        <w:rPr>
          <w:rFonts w:hint="eastAsia" w:ascii="仿宋" w:hAnsi="仿宋" w:eastAsia="仿宋" w:cs="宋体"/>
          <w:color w:val="000000"/>
          <w:sz w:val="32"/>
          <w:szCs w:val="32"/>
        </w:rPr>
        <w:t xml:space="preserve">    </w:t>
      </w:r>
    </w:p>
    <w:tbl>
      <w:tblPr>
        <w:tblStyle w:val="5"/>
        <w:tblW w:w="13512" w:type="dxa"/>
        <w:tblInd w:w="392" w:type="dxa"/>
        <w:tblLayout w:type="autofit"/>
        <w:tblCellMar>
          <w:top w:w="0" w:type="dxa"/>
          <w:left w:w="108" w:type="dxa"/>
          <w:bottom w:w="0" w:type="dxa"/>
          <w:right w:w="108" w:type="dxa"/>
        </w:tblCellMar>
      </w:tblPr>
      <w:tblGrid>
        <w:gridCol w:w="996"/>
        <w:gridCol w:w="2560"/>
        <w:gridCol w:w="2832"/>
        <w:gridCol w:w="1391"/>
        <w:gridCol w:w="1391"/>
        <w:gridCol w:w="1393"/>
        <w:gridCol w:w="1775"/>
        <w:gridCol w:w="1174"/>
      </w:tblGrid>
      <w:tr>
        <w:tblPrEx>
          <w:tblCellMar>
            <w:top w:w="0" w:type="dxa"/>
            <w:left w:w="108" w:type="dxa"/>
            <w:bottom w:w="0" w:type="dxa"/>
            <w:right w:w="108" w:type="dxa"/>
          </w:tblCellMar>
        </w:tblPrEx>
        <w:trPr>
          <w:trHeight w:val="624" w:hRule="atLeast"/>
        </w:trPr>
        <w:tc>
          <w:tcPr>
            <w:tcW w:w="13512" w:type="dxa"/>
            <w:gridSpan w:val="8"/>
            <w:vMerge w:val="restart"/>
            <w:tcBorders>
              <w:top w:val="nil"/>
              <w:left w:val="nil"/>
              <w:bottom w:val="single" w:color="000000" w:sz="4" w:space="0"/>
              <w:right w:val="nil"/>
            </w:tcBorders>
            <w:shd w:val="clear" w:color="auto" w:fill="auto"/>
            <w:noWrap/>
            <w:vAlign w:val="center"/>
          </w:tcPr>
          <w:p>
            <w:pPr>
              <w:widowControl/>
              <w:rPr>
                <w:rFonts w:hint="eastAsia" w:ascii="仿宋" w:hAnsi="仿宋" w:eastAsia="仿宋" w:cs="宋体"/>
                <w:color w:val="000000"/>
                <w:sz w:val="32"/>
                <w:szCs w:val="32"/>
              </w:rPr>
            </w:pPr>
          </w:p>
          <w:p>
            <w:pPr>
              <w:widowControl/>
              <w:rPr>
                <w:rFonts w:hint="eastAsia" w:ascii="仿宋" w:hAnsi="仿宋" w:eastAsia="仿宋" w:cs="宋体"/>
                <w:color w:val="000000"/>
                <w:sz w:val="32"/>
                <w:szCs w:val="32"/>
              </w:rPr>
            </w:pPr>
          </w:p>
          <w:p>
            <w:pPr>
              <w:widowControl/>
              <w:rPr>
                <w:rFonts w:hint="eastAsia" w:ascii="仿宋" w:hAnsi="仿宋" w:eastAsia="仿宋" w:cs="宋体"/>
                <w:color w:val="000000"/>
                <w:sz w:val="32"/>
                <w:szCs w:val="32"/>
              </w:rPr>
            </w:pPr>
          </w:p>
          <w:p>
            <w:pPr>
              <w:widowControl/>
              <w:rPr>
                <w:rFonts w:ascii="仿宋" w:hAnsi="仿宋" w:eastAsia="仿宋" w:cs="宋体"/>
                <w:color w:val="000000"/>
                <w:kern w:val="0"/>
                <w:sz w:val="32"/>
                <w:szCs w:val="32"/>
              </w:rPr>
            </w:pPr>
            <w:r>
              <w:rPr>
                <w:rFonts w:hint="eastAsia" w:ascii="仿宋" w:hAnsi="仿宋" w:eastAsia="仿宋" w:cs="宋体"/>
                <w:color w:val="000000"/>
                <w:sz w:val="32"/>
                <w:szCs w:val="32"/>
              </w:rPr>
              <w:t xml:space="preserve">附件1：       </w:t>
            </w:r>
            <w:r>
              <w:rPr>
                <w:rFonts w:hint="eastAsia" w:ascii="方正小标宋简体" w:hAnsi="仿宋" w:eastAsia="方正小标宋简体" w:cs="宋体"/>
                <w:b/>
                <w:color w:val="000000"/>
                <w:kern w:val="0"/>
                <w:sz w:val="36"/>
                <w:szCs w:val="36"/>
              </w:rPr>
              <w:t>西吉县202</w:t>
            </w:r>
            <w:r>
              <w:rPr>
                <w:rFonts w:hint="eastAsia" w:ascii="方正小标宋简体" w:hAnsi="仿宋" w:eastAsia="方正小标宋简体" w:cs="宋体"/>
                <w:b/>
                <w:color w:val="000000"/>
                <w:kern w:val="0"/>
                <w:sz w:val="36"/>
                <w:szCs w:val="36"/>
                <w:lang w:val="en-US" w:eastAsia="zh-CN"/>
              </w:rPr>
              <w:t>3</w:t>
            </w:r>
            <w:r>
              <w:rPr>
                <w:rFonts w:hint="eastAsia" w:ascii="方正小标宋简体" w:hAnsi="仿宋" w:eastAsia="方正小标宋简体" w:cs="宋体"/>
                <w:b/>
                <w:color w:val="000000"/>
                <w:kern w:val="0"/>
                <w:sz w:val="36"/>
                <w:szCs w:val="36"/>
              </w:rPr>
              <w:t>年第四季度用户水龙头水水质</w:t>
            </w:r>
            <w:r>
              <w:rPr>
                <w:rFonts w:hint="eastAsia" w:ascii="方正小标宋简体" w:hAnsi="仿宋" w:eastAsia="方正小标宋简体" w:cs="宋体"/>
                <w:b/>
                <w:color w:val="000000"/>
                <w:kern w:val="0"/>
                <w:sz w:val="36"/>
                <w:szCs w:val="36"/>
                <w:lang w:val="en-US" w:eastAsia="zh-CN"/>
              </w:rPr>
              <w:t>卫生</w:t>
            </w:r>
            <w:bookmarkStart w:id="0" w:name="_GoBack"/>
            <w:bookmarkEnd w:id="0"/>
            <w:r>
              <w:rPr>
                <w:rFonts w:hint="eastAsia" w:ascii="方正小标宋简体" w:hAnsi="仿宋" w:eastAsia="方正小标宋简体" w:cs="宋体"/>
                <w:b/>
                <w:color w:val="000000"/>
                <w:kern w:val="0"/>
                <w:sz w:val="36"/>
                <w:szCs w:val="36"/>
              </w:rPr>
              <w:t>监测结果</w:t>
            </w:r>
          </w:p>
        </w:tc>
      </w:tr>
      <w:tr>
        <w:tblPrEx>
          <w:tblCellMar>
            <w:top w:w="0" w:type="dxa"/>
            <w:left w:w="108" w:type="dxa"/>
            <w:bottom w:w="0" w:type="dxa"/>
            <w:right w:w="108" w:type="dxa"/>
          </w:tblCellMar>
        </w:tblPrEx>
        <w:trPr>
          <w:trHeight w:val="312" w:hRule="atLeast"/>
        </w:trPr>
        <w:tc>
          <w:tcPr>
            <w:tcW w:w="13512" w:type="dxa"/>
            <w:gridSpan w:val="8"/>
            <w:vMerge w:val="continue"/>
            <w:tcBorders>
              <w:top w:val="nil"/>
              <w:left w:val="nil"/>
              <w:bottom w:val="single" w:color="000000" w:sz="4" w:space="0"/>
              <w:right w:val="nil"/>
            </w:tcBorders>
            <w:vAlign w:val="center"/>
          </w:tcPr>
          <w:p>
            <w:pPr>
              <w:widowControl/>
              <w:jc w:val="left"/>
              <w:rPr>
                <w:rFonts w:ascii="宋体" w:hAnsi="宋体" w:cs="宋体"/>
                <w:color w:val="000000"/>
                <w:kern w:val="0"/>
                <w:sz w:val="32"/>
                <w:szCs w:val="32"/>
              </w:rPr>
            </w:pPr>
          </w:p>
        </w:tc>
      </w:tr>
      <w:tr>
        <w:tblPrEx>
          <w:tblCellMar>
            <w:top w:w="0" w:type="dxa"/>
            <w:left w:w="108" w:type="dxa"/>
            <w:bottom w:w="0" w:type="dxa"/>
            <w:right w:w="108" w:type="dxa"/>
          </w:tblCellMar>
        </w:tblPrEx>
        <w:trPr>
          <w:trHeight w:val="276" w:hRule="atLeast"/>
        </w:trPr>
        <w:tc>
          <w:tcPr>
            <w:tcW w:w="99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序号</w:t>
            </w:r>
          </w:p>
        </w:tc>
        <w:tc>
          <w:tcPr>
            <w:tcW w:w="25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指标</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国家标准限值（mg/L）</w:t>
            </w:r>
          </w:p>
        </w:tc>
        <w:tc>
          <w:tcPr>
            <w:tcW w:w="4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监测值</w:t>
            </w:r>
          </w:p>
        </w:tc>
        <w:tc>
          <w:tcPr>
            <w:tcW w:w="17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监测指标合格率%</w:t>
            </w:r>
          </w:p>
        </w:tc>
        <w:tc>
          <w:tcPr>
            <w:tcW w:w="117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08" w:hRule="atLeast"/>
        </w:trPr>
        <w:tc>
          <w:tcPr>
            <w:tcW w:w="9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最大值</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最小值</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平均值</w:t>
            </w:r>
          </w:p>
        </w:tc>
        <w:tc>
          <w:tcPr>
            <w:tcW w:w="17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色度</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≤15度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&lt;5</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&lt;5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&lt;5　</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2</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浑浊度</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≤1度</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0.2</w:t>
            </w: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0.18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0.20</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3</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嗅和味</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无异臭、异味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无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无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无　</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4</w:t>
            </w:r>
          </w:p>
        </w:tc>
        <w:tc>
          <w:tcPr>
            <w:tcW w:w="2560" w:type="dxa"/>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肉眼可见物</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不得含有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无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无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无　</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5</w:t>
            </w:r>
          </w:p>
        </w:tc>
        <w:tc>
          <w:tcPr>
            <w:tcW w:w="2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pH值</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6.5—8.5</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rPr>
              <w:t>8.</w:t>
            </w:r>
            <w:r>
              <w:rPr>
                <w:rFonts w:hint="eastAsia" w:ascii="宋体" w:hAnsi="宋体" w:cs="宋体"/>
                <w:color w:val="000000"/>
                <w:kern w:val="0"/>
                <w:sz w:val="22"/>
                <w:szCs w:val="22"/>
                <w:lang w:val="en-US" w:eastAsia="zh-CN"/>
              </w:rPr>
              <w:t>29</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7.85</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rPr>
              <w:t>8.</w:t>
            </w:r>
            <w:r>
              <w:rPr>
                <w:rFonts w:hint="eastAsia" w:ascii="宋体" w:hAnsi="宋体" w:cs="宋体"/>
                <w:color w:val="000000"/>
                <w:kern w:val="0"/>
                <w:sz w:val="22"/>
                <w:szCs w:val="22"/>
                <w:lang w:val="en-US" w:eastAsia="zh-CN"/>
              </w:rPr>
              <w:t>13</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氯化物</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≤250</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8.6</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7.4</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8.25</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硫酸盐</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≤250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szCs w:val="22"/>
                <w:lang w:val="en-US" w:eastAsia="zh-CN"/>
              </w:rPr>
              <w:t>87.0</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szCs w:val="22"/>
                <w:lang w:val="en-US" w:eastAsia="zh-CN"/>
              </w:rPr>
              <w:t>82.6</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szCs w:val="22"/>
                <w:lang w:val="en-US" w:eastAsia="zh-CN"/>
              </w:rPr>
              <w:t>84.0</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溶解性总固体</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≤1000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lang w:val="en-US" w:eastAsia="zh-CN"/>
              </w:rPr>
              <w:t>219</w:t>
            </w:r>
            <w:r>
              <w:rPr>
                <w:rFonts w:hint="eastAsia" w:ascii="宋体" w:hAnsi="宋体" w:cs="宋体"/>
                <w:color w:val="000000"/>
                <w:kern w:val="0"/>
                <w:sz w:val="22"/>
                <w:szCs w:val="22"/>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206</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214.5</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总硬度</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≤450</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192</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180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187</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耗氧量</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≤3</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1.44</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0.88</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1.24</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氟化物</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0.22</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lang w:val="en-US" w:eastAsia="zh-CN"/>
              </w:rPr>
              <w:t>0.19</w:t>
            </w:r>
            <w:r>
              <w:rPr>
                <w:rFonts w:hint="eastAsia" w:ascii="宋体" w:hAnsi="宋体" w:cs="宋体"/>
                <w:color w:val="000000"/>
                <w:kern w:val="0"/>
                <w:sz w:val="22"/>
                <w:szCs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0.20</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硝酸盐氮</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≤20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0.78</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0.69</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0.76</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13</w:t>
            </w:r>
          </w:p>
        </w:tc>
        <w:tc>
          <w:tcPr>
            <w:tcW w:w="256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2"/>
                <w:szCs w:val="22"/>
              </w:rPr>
            </w:pPr>
            <w:r>
              <w:rPr>
                <w:rFonts w:hint="eastAsia" w:ascii="宋体" w:hAnsi="宋体" w:cs="宋体"/>
                <w:kern w:val="0"/>
                <w:sz w:val="22"/>
                <w:szCs w:val="22"/>
              </w:rPr>
              <w:t>余氯</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出厂水0.3-4.0mg/L</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末梢水&gt;0.05 mg/L</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0.4</w:t>
            </w:r>
            <w:r>
              <w:rPr>
                <w:rFonts w:hint="eastAsia" w:ascii="宋体" w:hAnsi="宋体" w:cs="宋体"/>
                <w:color w:val="000000"/>
                <w:kern w:val="0"/>
                <w:sz w:val="22"/>
                <w:szCs w:val="22"/>
                <w:lang w:val="en-US" w:eastAsia="zh-CN"/>
              </w:rPr>
              <w:t>8</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0.</w:t>
            </w:r>
            <w:r>
              <w:rPr>
                <w:rFonts w:hint="eastAsia" w:ascii="宋体" w:hAnsi="宋体" w:cs="宋体"/>
                <w:color w:val="000000"/>
                <w:kern w:val="0"/>
                <w:sz w:val="22"/>
                <w:szCs w:val="22"/>
                <w:lang w:val="en-US" w:eastAsia="zh-CN"/>
              </w:rPr>
              <w:t>23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0.32</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100</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5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2560" w:type="dxa"/>
            <w:tcBorders>
              <w:top w:val="nil"/>
              <w:left w:val="nil"/>
              <w:bottom w:val="single" w:color="auto" w:sz="4" w:space="0"/>
              <w:right w:val="single" w:color="auto" w:sz="4" w:space="0"/>
            </w:tcBorders>
            <w:shd w:val="clear" w:color="auto" w:fill="auto"/>
            <w:noWrap/>
            <w:vAlign w:val="center"/>
          </w:tcPr>
          <w:p>
            <w:pPr>
              <w:rPr>
                <w:rFonts w:ascii="宋体" w:hAnsi="宋体" w:cs="宋体"/>
                <w:kern w:val="0"/>
                <w:sz w:val="22"/>
              </w:rPr>
            </w:pPr>
            <w:r>
              <w:rPr>
                <w:rFonts w:hint="eastAsia" w:ascii="宋体" w:hAnsi="宋体" w:cs="宋体"/>
                <w:kern w:val="0"/>
                <w:sz w:val="22"/>
                <w:szCs w:val="22"/>
              </w:rPr>
              <w:t>菌落总数</w:t>
            </w:r>
            <w:r>
              <w:rPr>
                <w:rFonts w:hint="eastAsia" w:ascii="仿宋" w:hAnsi="仿宋" w:eastAsia="仿宋"/>
                <w:sz w:val="24"/>
                <w:szCs w:val="24"/>
              </w:rPr>
              <w:t>（CFU/mL）</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13</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szCs w:val="22"/>
                <w:lang w:val="en-US" w:eastAsia="zh-CN"/>
              </w:rPr>
              <w:t>3.17</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100</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2"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2560" w:type="dxa"/>
            <w:tcBorders>
              <w:top w:val="nil"/>
              <w:left w:val="nil"/>
              <w:bottom w:val="single" w:color="auto" w:sz="4" w:space="0"/>
              <w:right w:val="single" w:color="auto" w:sz="4" w:space="0"/>
            </w:tcBorders>
            <w:shd w:val="clear" w:color="auto" w:fill="auto"/>
            <w:noWrap/>
          </w:tcPr>
          <w:p>
            <w:pPr>
              <w:rPr>
                <w:rFonts w:ascii="宋体" w:hAnsi="宋体" w:cs="宋体"/>
                <w:kern w:val="0"/>
                <w:sz w:val="22"/>
              </w:rPr>
            </w:pPr>
            <w:r>
              <w:rPr>
                <w:rFonts w:hint="eastAsia" w:ascii="宋体" w:hAnsi="宋体" w:cs="宋体"/>
                <w:kern w:val="0"/>
                <w:sz w:val="24"/>
                <w:szCs w:val="24"/>
              </w:rPr>
              <w:t>总大肠菌群（</w:t>
            </w:r>
            <w:r>
              <w:rPr>
                <w:rFonts w:hint="eastAsia" w:ascii="仿宋" w:hAnsi="仿宋" w:eastAsia="仿宋"/>
                <w:sz w:val="24"/>
                <w:szCs w:val="24"/>
              </w:rPr>
              <w:t>MPN/100mL）</w:t>
            </w: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不得检出</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未检出　</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未检出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未检出　</w:t>
            </w: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100</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5" w:hRule="atLeast"/>
        </w:trPr>
        <w:tc>
          <w:tcPr>
            <w:tcW w:w="996"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2560" w:type="dxa"/>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szCs w:val="22"/>
              </w:rPr>
              <w:t>耐热大肠菌群（</w:t>
            </w:r>
            <w:r>
              <w:rPr>
                <w:rFonts w:hint="eastAsia" w:ascii="仿宋" w:hAnsi="仿宋" w:eastAsia="仿宋"/>
                <w:sz w:val="24"/>
                <w:szCs w:val="24"/>
              </w:rPr>
              <w:t>MPN/100mL）</w:t>
            </w:r>
          </w:p>
        </w:tc>
        <w:tc>
          <w:tcPr>
            <w:tcW w:w="2832"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不得检出</w:t>
            </w:r>
          </w:p>
        </w:tc>
        <w:tc>
          <w:tcPr>
            <w:tcW w:w="1391"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未检出　</w:t>
            </w:r>
          </w:p>
        </w:tc>
        <w:tc>
          <w:tcPr>
            <w:tcW w:w="1391"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未检出　</w:t>
            </w:r>
          </w:p>
        </w:tc>
        <w:tc>
          <w:tcPr>
            <w:tcW w:w="1392"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未检出　</w:t>
            </w:r>
          </w:p>
        </w:tc>
        <w:tc>
          <w:tcPr>
            <w:tcW w:w="1775"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100</w:t>
            </w:r>
          </w:p>
        </w:tc>
        <w:tc>
          <w:tcPr>
            <w:tcW w:w="1174"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6"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rPr>
            </w:pPr>
          </w:p>
        </w:tc>
        <w:tc>
          <w:tcPr>
            <w:tcW w:w="2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2"/>
                <w:szCs w:val="22"/>
              </w:rPr>
            </w:pPr>
          </w:p>
        </w:tc>
        <w:tc>
          <w:tcPr>
            <w:tcW w:w="28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7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p>
        </w:tc>
      </w:tr>
    </w:tbl>
    <w:p>
      <w:pPr>
        <w:rPr>
          <w:rFonts w:ascii="方正小标宋简体" w:hAnsi="方正小标宋简体"/>
          <w:sz w:val="36"/>
          <w:szCs w:val="36"/>
          <w:u w:val="single"/>
        </w:rPr>
      </w:pPr>
    </w:p>
    <w:sectPr>
      <w:pgSz w:w="16838" w:h="11906" w:orient="landscape"/>
      <w:pgMar w:top="1701"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wYzBjNTU1YjE5N2RkODAyNjlmNDFlZjAxZGJlM2UifQ=="/>
  </w:docVars>
  <w:rsids>
    <w:rsidRoot w:val="00F6115A"/>
    <w:rsid w:val="00014BF3"/>
    <w:rsid w:val="000153E3"/>
    <w:rsid w:val="00045553"/>
    <w:rsid w:val="00064519"/>
    <w:rsid w:val="000647A6"/>
    <w:rsid w:val="00065571"/>
    <w:rsid w:val="00077A73"/>
    <w:rsid w:val="0008545E"/>
    <w:rsid w:val="000B1585"/>
    <w:rsid w:val="000C69D8"/>
    <w:rsid w:val="000C789C"/>
    <w:rsid w:val="000E2634"/>
    <w:rsid w:val="000F37A0"/>
    <w:rsid w:val="00103292"/>
    <w:rsid w:val="00115859"/>
    <w:rsid w:val="00131EF1"/>
    <w:rsid w:val="00150028"/>
    <w:rsid w:val="001A2ED9"/>
    <w:rsid w:val="001B12C1"/>
    <w:rsid w:val="001B46A4"/>
    <w:rsid w:val="001D332C"/>
    <w:rsid w:val="0020380C"/>
    <w:rsid w:val="0022068D"/>
    <w:rsid w:val="00221365"/>
    <w:rsid w:val="002251BC"/>
    <w:rsid w:val="00247786"/>
    <w:rsid w:val="002A6196"/>
    <w:rsid w:val="002B5B26"/>
    <w:rsid w:val="002F2B59"/>
    <w:rsid w:val="002F6506"/>
    <w:rsid w:val="003278F5"/>
    <w:rsid w:val="0033120D"/>
    <w:rsid w:val="00340BD4"/>
    <w:rsid w:val="00342504"/>
    <w:rsid w:val="00354A96"/>
    <w:rsid w:val="003648FB"/>
    <w:rsid w:val="003A0ADE"/>
    <w:rsid w:val="003C7E3A"/>
    <w:rsid w:val="003D76F7"/>
    <w:rsid w:val="004379C9"/>
    <w:rsid w:val="00446C62"/>
    <w:rsid w:val="004809CC"/>
    <w:rsid w:val="004C241E"/>
    <w:rsid w:val="004C4124"/>
    <w:rsid w:val="004D4741"/>
    <w:rsid w:val="00502937"/>
    <w:rsid w:val="0051390F"/>
    <w:rsid w:val="00520FF8"/>
    <w:rsid w:val="005C436A"/>
    <w:rsid w:val="005C564D"/>
    <w:rsid w:val="005E5388"/>
    <w:rsid w:val="005E608C"/>
    <w:rsid w:val="005F0C1D"/>
    <w:rsid w:val="006504E5"/>
    <w:rsid w:val="006537B9"/>
    <w:rsid w:val="00654412"/>
    <w:rsid w:val="006633E8"/>
    <w:rsid w:val="00677D24"/>
    <w:rsid w:val="00682C5E"/>
    <w:rsid w:val="00683FAB"/>
    <w:rsid w:val="006B05D0"/>
    <w:rsid w:val="006B21E7"/>
    <w:rsid w:val="006B6A6B"/>
    <w:rsid w:val="006D006C"/>
    <w:rsid w:val="006E606A"/>
    <w:rsid w:val="006F3C85"/>
    <w:rsid w:val="0072167B"/>
    <w:rsid w:val="0074039E"/>
    <w:rsid w:val="00771EEF"/>
    <w:rsid w:val="007766C0"/>
    <w:rsid w:val="007C1088"/>
    <w:rsid w:val="007C1F65"/>
    <w:rsid w:val="007C71E4"/>
    <w:rsid w:val="007D1569"/>
    <w:rsid w:val="007E509D"/>
    <w:rsid w:val="007E5FCA"/>
    <w:rsid w:val="007F2A73"/>
    <w:rsid w:val="007F63A3"/>
    <w:rsid w:val="00813936"/>
    <w:rsid w:val="00815E66"/>
    <w:rsid w:val="008350BA"/>
    <w:rsid w:val="00844446"/>
    <w:rsid w:val="00880692"/>
    <w:rsid w:val="00886AB8"/>
    <w:rsid w:val="00891558"/>
    <w:rsid w:val="00892252"/>
    <w:rsid w:val="008936AE"/>
    <w:rsid w:val="008A6412"/>
    <w:rsid w:val="008C4C1A"/>
    <w:rsid w:val="008C7D38"/>
    <w:rsid w:val="008D3B05"/>
    <w:rsid w:val="008F1F4A"/>
    <w:rsid w:val="008F4A54"/>
    <w:rsid w:val="00941904"/>
    <w:rsid w:val="00983784"/>
    <w:rsid w:val="00983B92"/>
    <w:rsid w:val="00991C8F"/>
    <w:rsid w:val="00995B04"/>
    <w:rsid w:val="009A2C57"/>
    <w:rsid w:val="009B736F"/>
    <w:rsid w:val="009D27F0"/>
    <w:rsid w:val="009E493F"/>
    <w:rsid w:val="009F273C"/>
    <w:rsid w:val="00A2767F"/>
    <w:rsid w:val="00A412A7"/>
    <w:rsid w:val="00A414FB"/>
    <w:rsid w:val="00A42BBD"/>
    <w:rsid w:val="00A61045"/>
    <w:rsid w:val="00A839CC"/>
    <w:rsid w:val="00A92176"/>
    <w:rsid w:val="00AC564E"/>
    <w:rsid w:val="00AD63CD"/>
    <w:rsid w:val="00AF244E"/>
    <w:rsid w:val="00B01CF5"/>
    <w:rsid w:val="00B105D2"/>
    <w:rsid w:val="00B521FB"/>
    <w:rsid w:val="00B5350A"/>
    <w:rsid w:val="00B5503D"/>
    <w:rsid w:val="00BE562B"/>
    <w:rsid w:val="00BE7555"/>
    <w:rsid w:val="00BF0351"/>
    <w:rsid w:val="00C0795B"/>
    <w:rsid w:val="00C07A89"/>
    <w:rsid w:val="00C743D0"/>
    <w:rsid w:val="00C953F0"/>
    <w:rsid w:val="00CC5474"/>
    <w:rsid w:val="00CC792D"/>
    <w:rsid w:val="00CD7327"/>
    <w:rsid w:val="00CE4F6D"/>
    <w:rsid w:val="00CF03C5"/>
    <w:rsid w:val="00CF179F"/>
    <w:rsid w:val="00D26AF2"/>
    <w:rsid w:val="00D35D35"/>
    <w:rsid w:val="00D53C13"/>
    <w:rsid w:val="00D76321"/>
    <w:rsid w:val="00D8492F"/>
    <w:rsid w:val="00D86AE2"/>
    <w:rsid w:val="00DA7E2C"/>
    <w:rsid w:val="00DB2056"/>
    <w:rsid w:val="00DB25AA"/>
    <w:rsid w:val="00DE3539"/>
    <w:rsid w:val="00DE4119"/>
    <w:rsid w:val="00DE7F37"/>
    <w:rsid w:val="00E426D7"/>
    <w:rsid w:val="00E47373"/>
    <w:rsid w:val="00E606F3"/>
    <w:rsid w:val="00E63506"/>
    <w:rsid w:val="00E93DCC"/>
    <w:rsid w:val="00EC30A5"/>
    <w:rsid w:val="00EC4D97"/>
    <w:rsid w:val="00ED41B2"/>
    <w:rsid w:val="00EE4573"/>
    <w:rsid w:val="00F14506"/>
    <w:rsid w:val="00F413E1"/>
    <w:rsid w:val="00F433FB"/>
    <w:rsid w:val="00F43694"/>
    <w:rsid w:val="00F60699"/>
    <w:rsid w:val="00F6115A"/>
    <w:rsid w:val="00F92AB5"/>
    <w:rsid w:val="00FA2719"/>
    <w:rsid w:val="00FA34FE"/>
    <w:rsid w:val="00FB5009"/>
    <w:rsid w:val="00FB707A"/>
    <w:rsid w:val="00FD265C"/>
    <w:rsid w:val="00FD3AC7"/>
    <w:rsid w:val="00FE7921"/>
    <w:rsid w:val="00FF314E"/>
    <w:rsid w:val="00FF657D"/>
    <w:rsid w:val="0C0742BE"/>
    <w:rsid w:val="1D84230A"/>
    <w:rsid w:val="28204DD8"/>
    <w:rsid w:val="29925FC3"/>
    <w:rsid w:val="2B6051D4"/>
    <w:rsid w:val="31D16A7B"/>
    <w:rsid w:val="3255145A"/>
    <w:rsid w:val="327A33B7"/>
    <w:rsid w:val="37294C63"/>
    <w:rsid w:val="3FCE63A8"/>
    <w:rsid w:val="48090D78"/>
    <w:rsid w:val="49033A36"/>
    <w:rsid w:val="576C0528"/>
    <w:rsid w:val="67F7432D"/>
    <w:rsid w:val="71F238C8"/>
    <w:rsid w:val="79566B90"/>
    <w:rsid w:val="7A794B87"/>
    <w:rsid w:val="7B37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rPr>
  </w:style>
  <w:style w:type="character" w:customStyle="1" w:styleId="8">
    <w:name w:val="页眉 Char"/>
    <w:basedOn w:val="6"/>
    <w:link w:val="4"/>
    <w:semiHidden/>
    <w:uiPriority w:val="99"/>
    <w:rPr>
      <w:rFonts w:ascii="Calibri" w:hAnsi="Calibri" w:eastAsia="宋体" w:cs="Calibri"/>
      <w:sz w:val="18"/>
      <w:szCs w:val="18"/>
    </w:rPr>
  </w:style>
  <w:style w:type="character" w:customStyle="1" w:styleId="9">
    <w:name w:val="页脚 Char"/>
    <w:basedOn w:val="6"/>
    <w:link w:val="3"/>
    <w:semiHidden/>
    <w:qFormat/>
    <w:uiPriority w:val="99"/>
    <w:rPr>
      <w:rFonts w:ascii="Calibri" w:hAnsi="Calibri" w:eastAsia="宋体" w:cs="Calibri"/>
      <w:sz w:val="18"/>
      <w:szCs w:val="18"/>
    </w:rPr>
  </w:style>
  <w:style w:type="character" w:customStyle="1" w:styleId="10">
    <w:name w:val="日期 Char"/>
    <w:basedOn w:val="6"/>
    <w:link w:val="2"/>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BDF3AF-FAC4-4C19-9202-88DF0B8F4106}">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154</Words>
  <Characters>882</Characters>
  <Lines>7</Lines>
  <Paragraphs>2</Paragraphs>
  <TotalTime>787</TotalTime>
  <ScaleCrop>false</ScaleCrop>
  <LinksUpToDate>false</LinksUpToDate>
  <CharactersWithSpaces>1034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2019-07-03T01:50:00Z</dcterms:created>
  <dc:creator>lenovo</dc:creator>
  <cp:lastModifiedBy>dell</cp:lastModifiedBy>
  <dcterms:modified xsi:type="dcterms:W3CDTF">2023-12-20T08:22:21Z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7132939D38264EDF88E53BD9B95D9ADE_12</vt:lpwstr>
  </property>
</Properties>
</file>