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 xml:space="preserve"> 西吉县白崖乡2023年度法治政府建设</w:t>
      </w:r>
    </w:p>
    <w:p>
      <w:pPr>
        <w:keepNext w:val="0"/>
        <w:keepLines w:val="0"/>
        <w:pageBreakBefore w:val="0"/>
        <w:widowControl/>
        <w:suppressLineNumbers w:val="0"/>
        <w:shd w:val="clear" w:fill="FFFFFF"/>
        <w:kinsoku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0"/>
        <w:jc w:val="center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i w:val="0"/>
          <w:iCs w:val="0"/>
          <w:caps w:val="0"/>
          <w:color w:val="auto"/>
          <w:spacing w:val="0"/>
          <w:kern w:val="0"/>
          <w:sz w:val="44"/>
          <w:szCs w:val="44"/>
          <w:shd w:val="clear" w:fill="FFFFFF"/>
          <w:lang w:val="en-US" w:eastAsia="zh-CN" w:bidi="ar"/>
        </w:rPr>
        <w:t>年度报告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fill="FFFFFF"/>
          <w:lang w:val="en-US" w:eastAsia="zh-CN" w:bidi="ar"/>
        </w:rPr>
        <w:t>​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白崖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乡法治政府建设坚持以习近平新时代中国特色社会主义思想为指导，深入学习宣传贯彻习近平法治思想，认真贯彻落实中央及区市县决策部署，扎实推进法治政府建设。现将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白崖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乡202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年法治政府建设工作情况报告如下。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一、推进法治政府建设的主要举措和成效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（一）强化统筹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部署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凝聚强大工作合力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旗帜鲜明讲政治，自觉把坚持和加强党的全面领导贯穿到政府工作各方面、全过程，不断提高政治判断力、政治领悟力、政治执行力。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白崖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乡坚持以习近平新时代中国特色社会主义思想为指导，认真贯彻落实习近平法治思想，全面推进依法行政工作健康开展。将法治政府建设列入重要议事日程，及时研究部署，全程跟踪督查，切实保障法治政府建设取得新进展、新成效。充分发挥党委在推进我乡法治政府建设中的领导核心作用，严格落实会前学法制度，充分利用乡党委理论学习中心组学习，认真落实领导干部年度学法的各项任务和措施，把法治理论、法律知识的学习列入领导班子成员及党员干部学习的重要内容，今年重点学习了习近平法治思想、《中华人民共和国宪法》《中华人民共和国民法典》及相关行业法律法规知识，做到乡党委带头学习法律，带头厉行法治、依法办事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left="0" w:right="0" w:firstLine="42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（二）强化依法行政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提升依法行政水平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严格按照民主集中制议事、决策和办事，规范乡政府议事规则，确保政府作出的每一项重大决策都合法合规。按照依法行政和信息公开的有关规定，认真落实政务公开各项制度，全面公开预算、决算、经费支出等，及时公布各类资金补助情况，正确规范设立举报投诉信箱，切实做到让权力在“阳光下”运行。坚持依法全面履行工作职能，加大各办公室（中心）、行政村学法守法护法力度，增强法纪意识，促进法治政府建设工作取得新成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（三）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狠抓法治宣传，增强群众法治观念。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始终坚持把强化法治宣传作为提升公民法治意识的重要手段。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将“八五”普法、法治建设和平安建设工作相结合，广泛发动全乡群众投身法治建设工作中，狠抓法治宣传，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引导群众树立“办事依法、遇事找法、解决问题用法、化解矛盾靠法”的法治观念。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紧抓特殊时段和节点开展法治宣传，开展了习近平法治思想学习会、“全民国家安全教育日”、常态化扫黑除恶、安全生产、防汛抗旱、《民法典》、电信诈骗、禁毒等普法宣传活动40余场次，通过悬挂条幅、张贴海报、发放宣传册，积极营造浓厚宣传氛围。充分利用“白崖微讯”微信公众号、村民微信群、农民讲习所等宣传阵地，深入向群众进行法治宣传教育，开展专题讲座20场次，发放各类宣传单10000余份，将宪法、刑法、民法典、《信访工作条例》等各类法律知识和防电信诈骗等安全知识送到广大村民身边，让习近平法治思想深入人心，营造了尊法学法守法用法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落实“1133”机制，切实维护社会稳定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bCs/>
          <w:color w:val="auto"/>
          <w:sz w:val="32"/>
          <w:szCs w:val="32"/>
          <w:lang w:val="en-US" w:eastAsia="zh-CN"/>
        </w:rPr>
        <w:t>我乡始终把基层治理工作当作维护社会稳定、保障社会平稳发展的一项政治任务来抓，以群众安全感、满意度双提升为重要抓手，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2"/>
          <w:sz w:val="32"/>
          <w:szCs w:val="32"/>
          <w:lang w:val="en-US" w:eastAsia="zh-CN" w:bidi="ar-SA"/>
        </w:rPr>
        <w:t>按照“党建引领、多元参与、共建共享”工作思路，积极推进基层治理“1133”工作机制。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由乡综治中心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牵头，派出所、司法所、白崖法庭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为主导,统筹整合乡综合执法办公室、村治安警务专干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、白崖义警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妇联、法律明白人、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网格员等调解力量，一改以往矛盾纠纷排查化解单打独斗的困境，力克“排而不查，调而不解”效能低下的顽疾，全面推动形成全方位、立体式的矛盾纠纷排查化解新格局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，2023年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共排查化解婚姻、家庭、宗教、民生、经济等各类矛盾纠纷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237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件，其中办理信访件19件，受理办结12345便民服务热线各类诉求145件，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切实做到了“小事不出村、大事不出乡、矛盾不上交，平安不出事”。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3" w:firstLineChars="200"/>
        <w:textAlignment w:val="auto"/>
        <w:outlineLvl w:val="9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（五）加强队伍建设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努力提升专业水平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认真落实法律顾问制度，聘请乡级律师1名，村级法律顾问全覆盖，妥善解决了全乡涉法问题。加大“法律明白人”的培养，我乡11个行政村各培育1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0名“法律明白人”，实现每个村“法律明白人”全覆盖。加大执法队伍建设工作，全乡干部取得执法资格人员8人，切实提高了群众工作水平和应对复杂局面、依法化解矛盾的能力。深入开展法治教育培训，充分利用网上培训等形式，不断增强党员干部法治素养和法治意识，提升了依法办事能力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二、推进法治政府建设存在的不足和原因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在县委、县政府的安排部署下，在上级业务部门的鼎力相助下、在全体干部职工的共同努力下，我乡推进建设法治政府工作虽然取得了一定成效，但也存在一定问题，主要表现在：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一是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对法律法规地学习不够深入；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二是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普法宣传工作方法不够丰富；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三是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部分干部职工法治观念和工作实际结合不够紧密。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三、党政主要负责人履行推进法治建设第一责任人职责，加强法治政府建设的有关情况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年，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白崖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乡党委、政府主要负责人坚持以习近平新时代中国特色社会主义思想为指导，深入学习贯彻全面依法治国新理念新思想新战略，切实履行推进法治建设第一责任人的职责，始终将法治建设主体责任扛在肩上、抓在手上，落实到行动上。狠抓普法学法，率先垂范，做学法标兵，深刻领会习近平总书记关于法治政府建设重要指示精神，按照“学懂、弄通、做实”的要求，带头学法，模范用法。通过党委会会前学法、专题学法等形式，学习党的二十大精神、习近平法治思想等，引领推进各办公室、中心、行政村学法常态化。把习近平法治思想纳入党委理论学习中心组、干部职工集体学习重点内容，实现常态化学习，不断提升干部法治素养和法治能力。团结带领班子成员，严格按照上级关于推进法治建设的工作部署，认真落实法治建设各项工作措施，不断创新工作思路，改进工作方法，有效推动法治建设不断迈上新的台阶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四、202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黑体" w:hAnsi="黑体" w:eastAsia="黑体" w:cs="黑体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年推进法治政府建设的主要安排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白崖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乡将继续认真贯彻落实习近平法治思想，按照上级安排部署，深入开展法治政府建设，提升依法行政能力，为促进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白崖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乡经济社会事业更好更快发展，提供有力的法治保障。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3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一是坚持党建引领抓推进。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坚持以习近平新时代中国特色社会主义思想为指导，深入学习贯彻党的二十大精神，充分发挥功能型党支部引领作用，持续推进“1133”工作机制，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强化农村党组织领导能力，充分发挥农村党组织战斗堡垒作用，进一步健全村级议事机构和监督机制，规范村级治理结构和内部决策，不断完善村级协商机制，提升村级自治能力。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二是加强矛盾纠纷排查化解。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扎实做好信访维稳工作，坚持信访问题、矛盾纠纷大排查，定期召开功能型党支部会议分析研判，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进一步丰富和发展新时代“枫桥经验”，畅通群众诉求表达、权益保障通道，健全社会矛盾纠纷多元预防调处化解机制，落实信访首问首访首办负责制。依托“四位一体”多元解纷机制，全面推进落实基层治理“1133”工作机制，全面排查婚姻嫁娶、土地等各类矛盾纠纷，做到早发现早排查早化解，确保全乡社会大局和谐稳定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三是大力深化平安白崖建设。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充分发挥村级综治中心作用，用好“一村一辅警”机制，持续深化常态化扫黑除恶斗争，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严厉打击盗抢骗、黄赌毒、酒驾等各类违法犯罪，全面整治社会乱象，净化社会环境。扎实开展安全排查整治工作，乡综合执法办公室要联合派出所不定期开展道路交通安全检查、防汛抗旱督导检查、消防安全检查等，确保我乡安全生产工作取得看得见、摸得着的实效。</w:t>
      </w:r>
      <w:r>
        <w:rPr>
          <w:rFonts w:hint="eastAsia" w:ascii="仿宋_GB2312" w:hAnsi="仿宋_GB2312" w:eastAsia="仿宋_GB2312" w:cs="仿宋_GB2312"/>
          <w:b/>
          <w:bCs/>
          <w:color w:val="auto"/>
          <w:sz w:val="32"/>
          <w:szCs w:val="32"/>
          <w:lang w:val="en-US" w:eastAsia="zh-CN"/>
        </w:rPr>
        <w:t>四是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持续提高法治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</w:rPr>
        <w:t>宣传教育实效</w:t>
      </w:r>
      <w:r>
        <w:rPr>
          <w:rFonts w:hint="eastAsia" w:ascii="仿宋_GB2312" w:hAnsi="仿宋_GB2312" w:eastAsia="仿宋_GB2312" w:cs="仿宋_GB2312"/>
          <w:b/>
          <w:color w:val="auto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lang w:val="en-US" w:eastAsia="zh-CN"/>
        </w:rPr>
        <w:t>紧抓特殊时段和节点开展法治宣传，充分利用“白崖微讯”微信公众号、村民微信群、农民讲习所、专题宣传栏等宣传阵地，深入群众进行法治宣传教育，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不断筑牢法治屏障，全面营造知法、懂法、守法、护法的浓厚氛围，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使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教育走进家庭，深化对群众的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法治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宣传教育，以法治促平安，全面提升人民群众安全感，着力确保人民安居乐业、社会安定有序。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left="0" w:right="0" w:firstLine="420"/>
        <w:jc w:val="righ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西吉县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eastAsia="zh-CN"/>
        </w:rPr>
        <w:t>白崖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乡人民政府           </w:t>
      </w:r>
    </w:p>
    <w:p>
      <w:pPr>
        <w:pStyle w:val="7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overflowPunct/>
        <w:topLinePunct w:val="0"/>
        <w:autoSpaceDE/>
        <w:autoSpaceDN/>
        <w:bidi w:val="0"/>
        <w:adjustRightInd/>
        <w:snapToGrid/>
        <w:spacing w:before="30" w:beforeAutospacing="0" w:after="0" w:afterAutospacing="0" w:line="560" w:lineRule="exact"/>
        <w:ind w:left="0" w:right="0" w:firstLine="42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      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年3月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日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mbria">
    <w:panose1 w:val="02040503050406030204"/>
    <w:charset w:val="00"/>
    <w:family w:val="auto"/>
    <w:pitch w:val="default"/>
    <w:sig w:usb0="E00002FF" w:usb1="400004FF" w:usb2="00000000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EFA0CAA"/>
    <w:multiLevelType w:val="multilevel"/>
    <w:tmpl w:val="CEFA0CAA"/>
    <w:lvl w:ilvl="0" w:tentative="0">
      <w:start w:val="1"/>
      <w:numFmt w:val="bullet"/>
      <w:pStyle w:val="4"/>
      <w:lvlText w:val=""/>
      <w:lvlJc w:val="left"/>
      <w:pPr>
        <w:ind w:left="780" w:hanging="360"/>
      </w:pPr>
      <w:rPr>
        <w:rFonts w:hint="eastAsia" w:ascii="Wingdings" w:hAnsi="Wingdings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position w:val="0"/>
        <w:u w:val="none"/>
        <w:lang w:val="en-US"/>
      </w:rPr>
    </w:lvl>
    <w:lvl w:ilvl="1" w:tentative="0">
      <w:start w:val="1"/>
      <w:numFmt w:val="lowerLetter"/>
      <w:lvlText w:val="%2."/>
      <w:lvlJc w:val="left"/>
      <w:pPr>
        <w:ind w:left="1140" w:hanging="360"/>
      </w:pPr>
      <w:rPr>
        <w:rFonts w:hint="eastAsia" w:cs="Times New Roman"/>
      </w:rPr>
    </w:lvl>
    <w:lvl w:ilvl="2" w:tentative="0">
      <w:start w:val="1"/>
      <w:numFmt w:val="lowerRoman"/>
      <w:lvlText w:val="%3."/>
      <w:lvlJc w:val="right"/>
      <w:pPr>
        <w:ind w:left="1860" w:hanging="180"/>
      </w:pPr>
      <w:rPr>
        <w:rFonts w:hint="eastAsia" w:cs="Times New Roman"/>
      </w:rPr>
    </w:lvl>
    <w:lvl w:ilvl="3" w:tentative="0">
      <w:start w:val="1"/>
      <w:numFmt w:val="decimal"/>
      <w:lvlText w:val="%4."/>
      <w:lvlJc w:val="left"/>
      <w:pPr>
        <w:ind w:left="2580" w:hanging="360"/>
      </w:pPr>
      <w:rPr>
        <w:rFonts w:hint="eastAsia" w:cs="Times New Roman"/>
      </w:rPr>
    </w:lvl>
    <w:lvl w:ilvl="4" w:tentative="0">
      <w:start w:val="1"/>
      <w:numFmt w:val="lowerLetter"/>
      <w:lvlText w:val="%5."/>
      <w:lvlJc w:val="left"/>
      <w:pPr>
        <w:ind w:left="3300" w:hanging="360"/>
      </w:pPr>
      <w:rPr>
        <w:rFonts w:hint="eastAsia" w:cs="Times New Roman"/>
      </w:rPr>
    </w:lvl>
    <w:lvl w:ilvl="5" w:tentative="0">
      <w:start w:val="1"/>
      <w:numFmt w:val="lowerRoman"/>
      <w:lvlText w:val="%6."/>
      <w:lvlJc w:val="right"/>
      <w:pPr>
        <w:ind w:left="4020" w:hanging="180"/>
      </w:pPr>
      <w:rPr>
        <w:rFonts w:hint="eastAsia" w:cs="Times New Roman"/>
      </w:rPr>
    </w:lvl>
    <w:lvl w:ilvl="6" w:tentative="0">
      <w:start w:val="1"/>
      <w:numFmt w:val="decimal"/>
      <w:lvlText w:val="%7."/>
      <w:lvlJc w:val="left"/>
      <w:pPr>
        <w:ind w:left="4740" w:hanging="360"/>
      </w:pPr>
      <w:rPr>
        <w:rFonts w:hint="eastAsia" w:cs="Times New Roman"/>
      </w:rPr>
    </w:lvl>
    <w:lvl w:ilvl="7" w:tentative="0">
      <w:start w:val="1"/>
      <w:numFmt w:val="lowerLetter"/>
      <w:lvlText w:val="%8."/>
      <w:lvlJc w:val="left"/>
      <w:pPr>
        <w:ind w:left="5460" w:hanging="360"/>
      </w:pPr>
      <w:rPr>
        <w:rFonts w:hint="eastAsia" w:cs="Times New Roman"/>
      </w:rPr>
    </w:lvl>
    <w:lvl w:ilvl="8" w:tentative="0">
      <w:start w:val="1"/>
      <w:numFmt w:val="lowerRoman"/>
      <w:lvlText w:val="%9."/>
      <w:lvlJc w:val="right"/>
      <w:pPr>
        <w:ind w:left="6180" w:hanging="180"/>
      </w:pPr>
      <w:rPr>
        <w:rFonts w:hint="eastAsia"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iZDE0MjE0NWJiNzhhMzVhMDM4NGEwMThjNzJjNDEifQ=="/>
  </w:docVars>
  <w:rsids>
    <w:rsidRoot w:val="00000000"/>
    <w:rsid w:val="019D2DAD"/>
    <w:rsid w:val="02B67F84"/>
    <w:rsid w:val="03506580"/>
    <w:rsid w:val="042C2C6A"/>
    <w:rsid w:val="12530A8A"/>
    <w:rsid w:val="1B645EC5"/>
    <w:rsid w:val="1D73135F"/>
    <w:rsid w:val="22C2681B"/>
    <w:rsid w:val="24C818E6"/>
    <w:rsid w:val="26386877"/>
    <w:rsid w:val="2D7F2F0B"/>
    <w:rsid w:val="2DA82C71"/>
    <w:rsid w:val="30215938"/>
    <w:rsid w:val="308B5972"/>
    <w:rsid w:val="30EE4C54"/>
    <w:rsid w:val="32BC4CF8"/>
    <w:rsid w:val="34C71994"/>
    <w:rsid w:val="38E008DD"/>
    <w:rsid w:val="39F61274"/>
    <w:rsid w:val="3D536621"/>
    <w:rsid w:val="428F35C1"/>
    <w:rsid w:val="48F544AC"/>
    <w:rsid w:val="4A4A4B72"/>
    <w:rsid w:val="4AFF53B2"/>
    <w:rsid w:val="4DC43B24"/>
    <w:rsid w:val="4FC110B2"/>
    <w:rsid w:val="5147560F"/>
    <w:rsid w:val="51883875"/>
    <w:rsid w:val="552F624E"/>
    <w:rsid w:val="567B6271"/>
    <w:rsid w:val="57836AA3"/>
    <w:rsid w:val="5C8C47E4"/>
    <w:rsid w:val="5D2C2D78"/>
    <w:rsid w:val="5D8156C7"/>
    <w:rsid w:val="624B315E"/>
    <w:rsid w:val="63471D6C"/>
    <w:rsid w:val="652B1F68"/>
    <w:rsid w:val="6D294DD0"/>
    <w:rsid w:val="6FAD11B1"/>
    <w:rsid w:val="772F1899"/>
    <w:rsid w:val="7744439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/>
    </w:rPr>
  </w:style>
  <w:style w:type="paragraph" w:styleId="4">
    <w:name w:val="heading 2"/>
    <w:basedOn w:val="1"/>
    <w:next w:val="1"/>
    <w:qFormat/>
    <w:uiPriority w:val="9"/>
    <w:pPr>
      <w:keepNext/>
      <w:keepLines/>
      <w:numPr>
        <w:ilvl w:val="0"/>
        <w:numId w:val="1"/>
      </w:numPr>
      <w:spacing w:before="50" w:after="40"/>
      <w:ind w:firstLine="0"/>
      <w:outlineLvl w:val="1"/>
    </w:pPr>
    <w:rPr>
      <w:rFonts w:ascii="Cambria" w:hAnsi="Cambria" w:eastAsia="宋体" w:cs="Times New Roman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spacing w:before="240" w:after="60"/>
      <w:jc w:val="center"/>
      <w:outlineLvl w:val="0"/>
    </w:pPr>
    <w:rPr>
      <w:rFonts w:ascii="Arial" w:hAnsi="Arial" w:cs="Arial"/>
      <w:b/>
      <w:bCs/>
      <w:sz w:val="32"/>
      <w:szCs w:val="32"/>
    </w:rPr>
  </w:style>
  <w:style w:type="paragraph" w:styleId="5">
    <w:name w:val="Normal Indent"/>
    <w:basedOn w:val="1"/>
    <w:qFormat/>
    <w:uiPriority w:val="0"/>
    <w:pPr>
      <w:ind w:firstLine="200" w:firstLineChars="200"/>
    </w:pPr>
    <w:rPr>
      <w:rFonts w:ascii="Times New Roman" w:hAnsi="Times New Roman" w:eastAsia="宋体" w:cs="Times New Roman"/>
      <w:sz w:val="21"/>
    </w:rPr>
  </w:style>
  <w:style w:type="paragraph" w:styleId="6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10">
    <w:name w:val="Strong"/>
    <w:basedOn w:val="9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6</Pages>
  <Words>3274</Words>
  <Characters>3338</Characters>
  <Lines>0</Lines>
  <Paragraphs>0</Paragraphs>
  <TotalTime>36</TotalTime>
  <ScaleCrop>false</ScaleCrop>
  <LinksUpToDate>false</LinksUpToDate>
  <CharactersWithSpaces>3358</CharactersWithSpaces>
  <Application>WPS Office_12.1.0.15946_F1E327BC-269C-435d-A152-05C5408002CA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骑驴上山</cp:lastModifiedBy>
  <cp:lastPrinted>2024-03-06T09:34:00Z</cp:lastPrinted>
  <dcterms:modified xsi:type="dcterms:W3CDTF">2024-03-19T08:40:34Z</dcterms:modified>
  <dc:title>沙沟乡2022年度法治政府建设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2052-12.1.0.15946</vt:lpwstr>
  </property>
  <property fmtid="{D5CDD505-2E9C-101B-9397-08002B2CF9AE}" pid="3" name="ICV">
    <vt:lpwstr>E0583B626B3548BCA3D0678B7F60A652_13</vt:lpwstr>
  </property>
</Properties>
</file>