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80" w:lineRule="exact"/>
        <w:outlineLvl w:val="1"/>
        <w:rPr>
          <w:rFonts w:ascii="黑体" w:hAnsi="黑体" w:eastAsia="黑体" w:cs="Times New Roman"/>
          <w:kern w:val="0"/>
          <w:sz w:val="36"/>
          <w:szCs w:val="36"/>
        </w:rPr>
      </w:pPr>
      <w:r>
        <w:rPr>
          <w:rFonts w:hint="eastAsia" w:ascii="黑体" w:eastAsia="黑体" w:cs="黑体"/>
          <w:sz w:val="32"/>
          <w:szCs w:val="32"/>
        </w:rPr>
        <w:t>附件2</w:t>
      </w:r>
      <w:r>
        <w:rPr>
          <w:rFonts w:hint="eastAsia" w:ascii="黑体" w:eastAsia="黑体" w:cs="黑体"/>
          <w:sz w:val="36"/>
          <w:szCs w:val="36"/>
        </w:rPr>
        <w:t>西吉县</w:t>
      </w:r>
      <w:r>
        <w:rPr>
          <w:rFonts w:hint="eastAsia" w:ascii="黑体" w:hAnsi="黑体" w:eastAsia="黑体" w:cs="黑体"/>
          <w:kern w:val="0"/>
          <w:sz w:val="36"/>
          <w:szCs w:val="36"/>
        </w:rPr>
        <w:t>2019年度部门决算公开参考模板</w:t>
      </w:r>
    </w:p>
    <w:p>
      <w:pPr>
        <w:spacing w:line="580" w:lineRule="exact"/>
        <w:rPr>
          <w:rFonts w:ascii="黑体" w:eastAsia="黑体" w:cs="Times New Roman"/>
          <w:sz w:val="32"/>
          <w:szCs w:val="32"/>
        </w:rPr>
      </w:pPr>
    </w:p>
    <w:p>
      <w:pPr>
        <w:spacing w:line="580" w:lineRule="exact"/>
        <w:rPr>
          <w:rFonts w:cs="Times New Roman"/>
        </w:rPr>
      </w:pPr>
    </w:p>
    <w:p>
      <w:pPr>
        <w:spacing w:line="580" w:lineRule="exact"/>
        <w:rPr>
          <w:rFonts w:cs="Times New Roman"/>
        </w:rPr>
      </w:pPr>
    </w:p>
    <w:p>
      <w:pPr>
        <w:spacing w:before="100" w:beforeAutospacing="1" w:after="100" w:afterAutospacing="1" w:line="580" w:lineRule="exact"/>
        <w:outlineLvl w:val="1"/>
        <w:rPr>
          <w:rFonts w:ascii="黑体" w:hAnsi="黑体" w:eastAsia="黑体" w:cs="Times New Roman"/>
          <w:kern w:val="0"/>
          <w:sz w:val="32"/>
          <w:szCs w:val="32"/>
        </w:rPr>
      </w:pPr>
    </w:p>
    <w:p>
      <w:pPr>
        <w:spacing w:before="100" w:beforeAutospacing="1" w:after="100" w:afterAutospacing="1" w:line="580" w:lineRule="exact"/>
        <w:outlineLvl w:val="1"/>
        <w:rPr>
          <w:rFonts w:ascii="黑体" w:hAnsi="黑体" w:eastAsia="黑体" w:cs="Times New Roman"/>
          <w:kern w:val="0"/>
          <w:sz w:val="32"/>
          <w:szCs w:val="32"/>
        </w:rPr>
      </w:pPr>
    </w:p>
    <w:p>
      <w:pPr>
        <w:spacing w:before="100" w:beforeAutospacing="1" w:after="100" w:afterAutospacing="1" w:line="580" w:lineRule="exact"/>
        <w:outlineLvl w:val="1"/>
        <w:rPr>
          <w:rFonts w:ascii="黑体" w:hAnsi="黑体" w:eastAsia="黑体" w:cs="Times New Roman"/>
          <w:kern w:val="0"/>
          <w:sz w:val="32"/>
          <w:szCs w:val="32"/>
        </w:rPr>
      </w:pPr>
    </w:p>
    <w:p>
      <w:pPr>
        <w:spacing w:before="100" w:beforeAutospacing="1" w:after="100" w:afterAutospacing="1" w:line="1000" w:lineRule="exact"/>
        <w:jc w:val="center"/>
        <w:outlineLvl w:val="1"/>
        <w:rPr>
          <w:rFonts w:ascii="方正小标宋简体" w:hAnsi="方正小标宋简体" w:eastAsia="方正小标宋简体" w:cs="Times New Roman"/>
          <w:kern w:val="0"/>
          <w:sz w:val="84"/>
          <w:szCs w:val="84"/>
        </w:rPr>
      </w:pPr>
      <w:r>
        <w:rPr>
          <w:rFonts w:hint="eastAsia" w:ascii="方正小标宋简体" w:hAnsi="方正小标宋简体" w:eastAsia="方正小标宋简体" w:cs="方正小标宋简体"/>
          <w:kern w:val="0"/>
          <w:sz w:val="84"/>
          <w:szCs w:val="84"/>
        </w:rPr>
        <w:t>2019年度</w:t>
      </w:r>
    </w:p>
    <w:p>
      <w:pPr>
        <w:spacing w:before="100" w:beforeAutospacing="1" w:after="100" w:afterAutospacing="1" w:line="1000" w:lineRule="exact"/>
        <w:jc w:val="center"/>
        <w:outlineLvl w:val="1"/>
        <w:rPr>
          <w:rFonts w:ascii="方正小标宋简体" w:hAnsi="方正小标宋简体" w:eastAsia="方正小标宋简体" w:cs="Times New Roman"/>
          <w:kern w:val="0"/>
          <w:sz w:val="84"/>
          <w:szCs w:val="84"/>
        </w:rPr>
      </w:pPr>
    </w:p>
    <w:p>
      <w:pPr>
        <w:spacing w:before="100" w:beforeAutospacing="1" w:after="100" w:afterAutospacing="1" w:line="1000" w:lineRule="exact"/>
        <w:jc w:val="center"/>
        <w:outlineLvl w:val="1"/>
        <w:rPr>
          <w:rFonts w:ascii="方正小标宋简体" w:hAnsi="方正小标宋简体" w:eastAsia="方正小标宋简体" w:cs="Times New Roman"/>
          <w:kern w:val="0"/>
          <w:sz w:val="84"/>
          <w:szCs w:val="84"/>
        </w:rPr>
      </w:pPr>
      <w:r>
        <w:rPr>
          <w:rFonts w:hint="eastAsia" w:ascii="方正小标宋简体" w:hAnsi="方正小标宋简体" w:eastAsia="方正小标宋简体" w:cs="方正小标宋简体"/>
          <w:kern w:val="0"/>
          <w:sz w:val="84"/>
          <w:szCs w:val="84"/>
        </w:rPr>
        <w:t>西吉县公安局（汇总）部门决算</w:t>
      </w:r>
    </w:p>
    <w:p>
      <w:pPr>
        <w:spacing w:before="100" w:beforeAutospacing="1" w:after="100" w:afterAutospacing="1" w:line="1000" w:lineRule="exact"/>
        <w:jc w:val="center"/>
        <w:outlineLvl w:val="1"/>
        <w:rPr>
          <w:rFonts w:ascii="黑体" w:hAnsi="宋体" w:eastAsia="黑体" w:cs="Times New Roman"/>
          <w:b/>
          <w:bCs/>
          <w:kern w:val="0"/>
          <w:sz w:val="84"/>
          <w:szCs w:val="84"/>
        </w:rPr>
      </w:pPr>
    </w:p>
    <w:p>
      <w:pPr>
        <w:spacing w:before="100" w:beforeAutospacing="1" w:after="100" w:afterAutospacing="1" w:line="580" w:lineRule="exact"/>
        <w:jc w:val="center"/>
        <w:outlineLvl w:val="1"/>
        <w:rPr>
          <w:rFonts w:ascii="宋体" w:cs="Times New Roman"/>
          <w:b/>
          <w:bCs/>
          <w:kern w:val="0"/>
          <w:sz w:val="44"/>
          <w:szCs w:val="44"/>
        </w:rPr>
      </w:pPr>
    </w:p>
    <w:p>
      <w:pPr>
        <w:spacing w:before="100" w:beforeAutospacing="1" w:after="100" w:afterAutospacing="1" w:line="580" w:lineRule="exact"/>
        <w:outlineLvl w:val="1"/>
        <w:rPr>
          <w:rFonts w:ascii="宋体" w:cs="Times New Roman"/>
          <w:b/>
          <w:bCs/>
          <w:kern w:val="0"/>
          <w:sz w:val="44"/>
          <w:szCs w:val="44"/>
        </w:rPr>
      </w:pPr>
    </w:p>
    <w:p>
      <w:pPr>
        <w:spacing w:before="100" w:beforeAutospacing="1" w:after="100" w:afterAutospacing="1" w:line="580" w:lineRule="exact"/>
        <w:outlineLvl w:val="1"/>
        <w:rPr>
          <w:rFonts w:cs="Times New Roman"/>
          <w:b/>
          <w:bCs/>
          <w:kern w:val="0"/>
          <w:sz w:val="44"/>
          <w:szCs w:val="44"/>
        </w:rPr>
      </w:pPr>
    </w:p>
    <w:p>
      <w:pPr>
        <w:spacing w:line="580" w:lineRule="exact"/>
        <w:jc w:val="center"/>
        <w:outlineLvl w:val="1"/>
        <w:rPr>
          <w:rFonts w:ascii="黑体" w:hAnsi="黑体" w:eastAsia="黑体" w:cs="Times New Roman"/>
          <w:b/>
          <w:bCs/>
          <w:kern w:val="0"/>
          <w:sz w:val="44"/>
          <w:szCs w:val="44"/>
        </w:rPr>
      </w:pPr>
    </w:p>
    <w:p>
      <w:pPr>
        <w:spacing w:line="580" w:lineRule="exact"/>
        <w:jc w:val="center"/>
        <w:outlineLvl w:val="1"/>
        <w:rPr>
          <w:rFonts w:ascii="黑体" w:hAnsi="黑体" w:eastAsia="黑体" w:cs="Times New Roman"/>
          <w:b/>
          <w:bCs/>
          <w:kern w:val="0"/>
          <w:sz w:val="44"/>
          <w:szCs w:val="44"/>
        </w:rPr>
      </w:pPr>
      <w:r>
        <w:rPr>
          <w:rFonts w:hint="eastAsia" w:ascii="黑体" w:hAnsi="黑体" w:eastAsia="黑体" w:cs="黑体"/>
          <w:b/>
          <w:bCs/>
          <w:kern w:val="0"/>
          <w:sz w:val="44"/>
          <w:szCs w:val="44"/>
        </w:rPr>
        <w:t>目录</w:t>
      </w:r>
    </w:p>
    <w:p>
      <w:pPr>
        <w:spacing w:line="580" w:lineRule="exact"/>
        <w:jc w:val="center"/>
        <w:outlineLvl w:val="1"/>
        <w:rPr>
          <w:rFonts w:cs="Times New Roman"/>
          <w:b/>
          <w:bCs/>
          <w:kern w:val="0"/>
          <w:sz w:val="44"/>
          <w:szCs w:val="44"/>
        </w:rPr>
      </w:pPr>
    </w:p>
    <w:p>
      <w:pPr>
        <w:spacing w:line="580" w:lineRule="exact"/>
        <w:ind w:firstLine="157" w:firstLineChars="49"/>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第一部分部门概况</w:t>
      </w:r>
    </w:p>
    <w:p>
      <w:pPr>
        <w:spacing w:line="580" w:lineRule="exact"/>
        <w:ind w:firstLine="784" w:firstLineChars="245"/>
        <w:outlineLvl w:val="1"/>
        <w:rPr>
          <w:rFonts w:eastAsia="仿宋_GB2312" w:cs="Times New Roman"/>
          <w:b/>
          <w:bCs/>
          <w:kern w:val="0"/>
          <w:sz w:val="32"/>
          <w:szCs w:val="32"/>
        </w:rPr>
      </w:pPr>
      <w:r>
        <w:rPr>
          <w:rFonts w:hint="eastAsia" w:eastAsia="仿宋_GB2312" w:cs="仿宋_GB2312"/>
          <w:kern w:val="0"/>
          <w:sz w:val="32"/>
          <w:szCs w:val="32"/>
        </w:rPr>
        <w:t>一、部门职责</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二、机构设置</w:t>
      </w:r>
      <w:bookmarkStart w:id="0" w:name="_GoBack"/>
      <w:bookmarkEnd w:id="0"/>
    </w:p>
    <w:p>
      <w:pPr>
        <w:spacing w:beforeLines="50" w:line="580" w:lineRule="exact"/>
        <w:ind w:firstLine="157" w:firstLineChars="49"/>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第二部分2019年度部门决算表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一、收入支出决算总表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二、收入决算表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三、支出决算表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四、财政拨款收入支出决算总表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五、一般公共预算财政拨款支出决算表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六、一般公共预算财政拨款基本支出决算表</w:t>
      </w:r>
    </w:p>
    <w:p>
      <w:pPr>
        <w:spacing w:line="580" w:lineRule="exact"/>
        <w:ind w:firstLine="830" w:firstLineChars="250"/>
        <w:rPr>
          <w:rFonts w:eastAsia="仿宋_GB2312" w:cs="Times New Roman"/>
          <w:sz w:val="32"/>
          <w:szCs w:val="32"/>
        </w:rPr>
      </w:pPr>
      <w:r>
        <w:rPr>
          <w:rFonts w:hint="eastAsia" w:eastAsia="仿宋_GB2312" w:cs="仿宋_GB2312"/>
          <w:spacing w:val="6"/>
          <w:sz w:val="32"/>
          <w:szCs w:val="32"/>
        </w:rPr>
        <w:t>七、</w:t>
      </w:r>
      <w:r>
        <w:rPr>
          <w:rFonts w:hint="eastAsia" w:eastAsia="仿宋_GB2312" w:cs="仿宋_GB2312"/>
          <w:sz w:val="32"/>
          <w:szCs w:val="32"/>
        </w:rPr>
        <w:t>一般公共预算财政拨款</w:t>
      </w:r>
      <w:r>
        <w:rPr>
          <w:rFonts w:eastAsia="仿宋_GB2312"/>
          <w:sz w:val="32"/>
          <w:szCs w:val="32"/>
        </w:rPr>
        <w:t>“</w:t>
      </w:r>
      <w:r>
        <w:rPr>
          <w:rFonts w:hint="eastAsia" w:eastAsia="仿宋_GB2312" w:cs="仿宋_GB2312"/>
          <w:sz w:val="32"/>
          <w:szCs w:val="32"/>
        </w:rPr>
        <w:t>三公</w:t>
      </w:r>
      <w:r>
        <w:rPr>
          <w:rFonts w:eastAsia="仿宋_GB2312"/>
          <w:sz w:val="32"/>
          <w:szCs w:val="32"/>
        </w:rPr>
        <w:t>”</w:t>
      </w:r>
      <w:r>
        <w:rPr>
          <w:rFonts w:hint="eastAsia" w:eastAsia="仿宋_GB2312" w:cs="仿宋_GB2312"/>
          <w:sz w:val="32"/>
          <w:szCs w:val="32"/>
        </w:rPr>
        <w:t>经费支出决算表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八、政府性基金预算财政拨款收入支出决算表</w:t>
      </w:r>
    </w:p>
    <w:p>
      <w:pPr>
        <w:spacing w:beforeLines="50" w:line="580" w:lineRule="exact"/>
        <w:ind w:firstLine="157" w:firstLineChars="49"/>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第三部分2019年度部门决算情况说明</w:t>
      </w:r>
    </w:p>
    <w:p>
      <w:pPr>
        <w:spacing w:line="580" w:lineRule="exact"/>
        <w:ind w:firstLine="800" w:firstLineChars="250"/>
        <w:rPr>
          <w:rFonts w:eastAsia="仿宋_GB2312" w:cs="仿宋_GB2312"/>
          <w:sz w:val="32"/>
          <w:szCs w:val="32"/>
        </w:rPr>
      </w:pPr>
      <w:r>
        <w:rPr>
          <w:rFonts w:hint="eastAsia" w:eastAsia="仿宋_GB2312" w:cs="仿宋_GB2312"/>
          <w:sz w:val="32"/>
          <w:szCs w:val="32"/>
        </w:rPr>
        <w:t>一、收入支出决算总体情况说明</w:t>
      </w:r>
    </w:p>
    <w:p>
      <w:pPr>
        <w:spacing w:line="580" w:lineRule="exact"/>
        <w:ind w:firstLine="800" w:firstLineChars="250"/>
        <w:rPr>
          <w:rFonts w:eastAsia="仿宋_GB2312" w:cs="仿宋_GB2312"/>
          <w:sz w:val="32"/>
          <w:szCs w:val="32"/>
        </w:rPr>
      </w:pPr>
      <w:r>
        <w:rPr>
          <w:rFonts w:hint="eastAsia" w:eastAsia="仿宋_GB2312" w:cs="仿宋_GB2312"/>
          <w:sz w:val="32"/>
          <w:szCs w:val="32"/>
        </w:rPr>
        <w:t>二、收入决算情况说明</w:t>
      </w:r>
    </w:p>
    <w:p>
      <w:pPr>
        <w:spacing w:line="580" w:lineRule="exact"/>
        <w:ind w:firstLine="800" w:firstLineChars="250"/>
        <w:rPr>
          <w:rFonts w:eastAsia="仿宋_GB2312" w:cs="仿宋_GB2312"/>
          <w:sz w:val="32"/>
          <w:szCs w:val="32"/>
        </w:rPr>
      </w:pPr>
      <w:r>
        <w:rPr>
          <w:rFonts w:hint="eastAsia" w:eastAsia="仿宋_GB2312" w:cs="仿宋_GB2312"/>
          <w:sz w:val="32"/>
          <w:szCs w:val="32"/>
        </w:rPr>
        <w:t>三、支出决算情况说明</w:t>
      </w:r>
    </w:p>
    <w:p>
      <w:pPr>
        <w:spacing w:line="580" w:lineRule="exact"/>
        <w:ind w:firstLine="800" w:firstLineChars="250"/>
        <w:rPr>
          <w:rFonts w:eastAsia="仿宋_GB2312" w:cs="仿宋_GB2312"/>
          <w:sz w:val="32"/>
          <w:szCs w:val="32"/>
        </w:rPr>
      </w:pPr>
      <w:r>
        <w:rPr>
          <w:rFonts w:hint="eastAsia" w:eastAsia="仿宋_GB2312" w:cs="仿宋_GB2312"/>
          <w:sz w:val="32"/>
          <w:szCs w:val="32"/>
        </w:rPr>
        <w:t>四、财政拨款收入支出决算总体情况说明</w:t>
      </w:r>
    </w:p>
    <w:p>
      <w:pPr>
        <w:spacing w:line="580" w:lineRule="exact"/>
        <w:ind w:firstLine="800" w:firstLineChars="250"/>
        <w:rPr>
          <w:rFonts w:eastAsia="仿宋_GB2312" w:cs="仿宋_GB2312"/>
          <w:sz w:val="32"/>
          <w:szCs w:val="32"/>
        </w:rPr>
      </w:pPr>
      <w:r>
        <w:rPr>
          <w:rFonts w:hint="eastAsia" w:eastAsia="仿宋_GB2312" w:cs="仿宋_GB2312"/>
          <w:sz w:val="32"/>
          <w:szCs w:val="32"/>
        </w:rPr>
        <w:t>五、一般公共预算财政拨款支出决算情况说明</w:t>
      </w:r>
    </w:p>
    <w:p>
      <w:pPr>
        <w:spacing w:line="580" w:lineRule="exact"/>
        <w:ind w:firstLine="800" w:firstLineChars="250"/>
        <w:rPr>
          <w:rFonts w:eastAsia="仿宋_GB2312" w:cs="仿宋_GB2312"/>
          <w:sz w:val="32"/>
          <w:szCs w:val="32"/>
        </w:rPr>
      </w:pPr>
      <w:r>
        <w:rPr>
          <w:rFonts w:hint="eastAsia" w:eastAsia="仿宋_GB2312" w:cs="仿宋_GB2312"/>
          <w:sz w:val="32"/>
          <w:szCs w:val="32"/>
        </w:rPr>
        <w:t>六、一般公共预算财政拨款基本支出决算情况说明</w:t>
      </w:r>
    </w:p>
    <w:p>
      <w:pPr>
        <w:spacing w:line="580" w:lineRule="exact"/>
        <w:ind w:firstLine="800" w:firstLineChars="250"/>
        <w:rPr>
          <w:rFonts w:eastAsia="仿宋_GB2312" w:cs="仿宋_GB2312"/>
          <w:sz w:val="32"/>
          <w:szCs w:val="32"/>
        </w:rPr>
      </w:pPr>
      <w:r>
        <w:rPr>
          <w:rFonts w:hint="eastAsia" w:eastAsia="仿宋_GB2312" w:cs="仿宋_GB2312"/>
          <w:sz w:val="32"/>
          <w:szCs w:val="32"/>
        </w:rPr>
        <w:t>七、一般公共预算财政拨款</w:t>
      </w:r>
      <w:r>
        <w:rPr>
          <w:rFonts w:eastAsia="仿宋_GB2312" w:cs="仿宋_GB2312"/>
          <w:sz w:val="32"/>
          <w:szCs w:val="32"/>
        </w:rPr>
        <w:t>“</w:t>
      </w:r>
      <w:r>
        <w:rPr>
          <w:rFonts w:hint="eastAsia" w:eastAsia="仿宋_GB2312" w:cs="仿宋_GB2312"/>
          <w:sz w:val="32"/>
          <w:szCs w:val="32"/>
        </w:rPr>
        <w:t>三公</w:t>
      </w:r>
      <w:r>
        <w:rPr>
          <w:rFonts w:eastAsia="仿宋_GB2312" w:cs="仿宋_GB2312"/>
          <w:sz w:val="32"/>
          <w:szCs w:val="32"/>
        </w:rPr>
        <w:t>”</w:t>
      </w:r>
      <w:r>
        <w:rPr>
          <w:rFonts w:hint="eastAsia" w:eastAsia="仿宋_GB2312" w:cs="仿宋_GB2312"/>
          <w:sz w:val="32"/>
          <w:szCs w:val="32"/>
        </w:rPr>
        <w:t>经费支出决算情况说明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八、政府性基金预算财政拨款收入支出决算情况说明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九、其他重要事项的情况说明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（一）机关运行经费支出情况说明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（二）政府采购情况说明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（三）国有资产占有使用情况说明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（四）预算绩效管理工作开展情况说明</w:t>
      </w:r>
    </w:p>
    <w:p>
      <w:pPr>
        <w:spacing w:afterLines="50" w:line="580" w:lineRule="exact"/>
        <w:ind w:firstLine="315" w:firstLineChars="98"/>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第四部分名词解释</w:t>
      </w:r>
    </w:p>
    <w:p>
      <w:pPr>
        <w:spacing w:afterLines="50" w:line="580" w:lineRule="exact"/>
        <w:ind w:firstLine="315" w:firstLineChars="98"/>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第五部分附件</w:t>
      </w:r>
    </w:p>
    <w:p>
      <w:pPr>
        <w:spacing w:line="580" w:lineRule="exact"/>
        <w:outlineLvl w:val="1"/>
        <w:rPr>
          <w:rFonts w:eastAsia="仿宋_GB2312" w:cs="Times New Roman"/>
          <w:b/>
          <w:bCs/>
          <w:kern w:val="0"/>
          <w:sz w:val="32"/>
          <w:szCs w:val="32"/>
        </w:rPr>
      </w:pPr>
    </w:p>
    <w:p>
      <w:pPr>
        <w:spacing w:line="580" w:lineRule="exact"/>
        <w:outlineLvl w:val="1"/>
        <w:rPr>
          <w:rFonts w:eastAsia="仿宋_GB2312" w:cs="Times New Roman"/>
          <w:b/>
          <w:bCs/>
          <w:kern w:val="0"/>
          <w:sz w:val="32"/>
          <w:szCs w:val="32"/>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widowControl/>
        <w:jc w:val="left"/>
        <w:outlineLvl w:val="1"/>
        <w:rPr>
          <w:rFonts w:ascii="仿宋_GB2312" w:hAnsi="宋体" w:eastAsia="仿宋_GB2312" w:cs="Times New Roman"/>
          <w:b/>
          <w:bCs/>
          <w:kern w:val="0"/>
          <w:sz w:val="36"/>
          <w:szCs w:val="36"/>
        </w:rPr>
      </w:pPr>
    </w:p>
    <w:p>
      <w:pPr>
        <w:widowControl/>
        <w:jc w:val="center"/>
        <w:outlineLvl w:val="1"/>
        <w:rPr>
          <w:rFonts w:ascii="黑体" w:hAnsi="黑体" w:eastAsia="黑体" w:cs="Times New Roman"/>
          <w:kern w:val="0"/>
          <w:sz w:val="44"/>
          <w:szCs w:val="44"/>
        </w:rPr>
      </w:pPr>
      <w:r>
        <w:rPr>
          <w:rFonts w:hint="eastAsia" w:ascii="黑体" w:hAnsi="黑体" w:eastAsia="黑体" w:cs="黑体"/>
          <w:kern w:val="0"/>
          <w:sz w:val="44"/>
          <w:szCs w:val="44"/>
        </w:rPr>
        <w:t>第一部分  西吉县公安局部门（单位）概况</w:t>
      </w:r>
    </w:p>
    <w:p>
      <w:pPr>
        <w:widowControl/>
        <w:spacing w:line="560" w:lineRule="exact"/>
        <w:jc w:val="left"/>
        <w:rPr>
          <w:rFonts w:ascii="黑体" w:hAnsi="黑体" w:eastAsia="黑体" w:cs="Times New Roman"/>
          <w:b/>
          <w:bCs/>
          <w:kern w:val="0"/>
          <w:sz w:val="32"/>
          <w:szCs w:val="32"/>
        </w:rPr>
      </w:pPr>
    </w:p>
    <w:p>
      <w:pPr>
        <w:widowControl/>
        <w:spacing w:line="560" w:lineRule="exact"/>
        <w:ind w:firstLine="480"/>
        <w:jc w:val="left"/>
        <w:rPr>
          <w:rFonts w:ascii="黑体" w:hAnsi="黑体" w:eastAsia="黑体" w:cs="Times New Roman"/>
          <w:kern w:val="0"/>
          <w:sz w:val="32"/>
          <w:szCs w:val="32"/>
        </w:rPr>
      </w:pPr>
      <w:r>
        <w:rPr>
          <w:rFonts w:hint="eastAsia" w:ascii="黑体" w:hAnsi="黑体" w:eastAsia="黑体" w:cs="黑体"/>
          <w:kern w:val="0"/>
          <w:sz w:val="32"/>
          <w:szCs w:val="32"/>
        </w:rPr>
        <w:t>　一、部门职责</w:t>
      </w:r>
    </w:p>
    <w:p>
      <w:pPr>
        <w:snapToGrid w:val="0"/>
        <w:spacing w:line="520" w:lineRule="exact"/>
        <w:ind w:firstLine="640" w:firstLineChars="200"/>
        <w:rPr>
          <w:rFonts w:ascii="仿宋_GB2312" w:hAnsi="宋体" w:eastAsia="仿宋_GB2312" w:cs="宋体"/>
          <w:color w:val="1D1D1D"/>
          <w:kern w:val="0"/>
          <w:sz w:val="32"/>
          <w:szCs w:val="32"/>
        </w:rPr>
      </w:pPr>
      <w:r>
        <w:rPr>
          <w:rFonts w:hint="eastAsia" w:ascii="仿宋_GB2312" w:hAnsi="宋体" w:eastAsia="仿宋_GB2312" w:cs="宋体"/>
          <w:color w:val="1D1D1D"/>
          <w:kern w:val="0"/>
          <w:sz w:val="32"/>
          <w:szCs w:val="32"/>
        </w:rPr>
        <w:t>1.主要职能。</w:t>
      </w:r>
    </w:p>
    <w:p>
      <w:pPr>
        <w:snapToGrid w:val="0"/>
        <w:spacing w:line="520" w:lineRule="exact"/>
        <w:rPr>
          <w:rFonts w:hint="eastAsia" w:ascii="仿宋_GB2312" w:hAnsi="microsoft yehei" w:eastAsia="仿宋_GB2312" w:cs="宋体"/>
          <w:color w:val="1D1D1D"/>
          <w:kern w:val="0"/>
          <w:sz w:val="32"/>
          <w:szCs w:val="32"/>
        </w:rPr>
      </w:pPr>
      <w:r>
        <w:rPr>
          <w:rFonts w:hint="eastAsia" w:ascii="仿宋_GB2312" w:hAnsi="宋体" w:eastAsia="仿宋_GB2312" w:cs="宋体"/>
          <w:color w:val="1D1D1D"/>
          <w:kern w:val="0"/>
          <w:sz w:val="32"/>
          <w:szCs w:val="32"/>
        </w:rPr>
        <w:t xml:space="preserve">    </w:t>
      </w:r>
      <w:r>
        <w:rPr>
          <w:rFonts w:hint="eastAsia" w:ascii="仿宋_GB2312" w:hAnsi="microsoft yehei" w:eastAsia="仿宋_GB2312" w:cs="宋体"/>
          <w:color w:val="1D1D1D"/>
          <w:kern w:val="0"/>
          <w:sz w:val="32"/>
          <w:szCs w:val="32"/>
        </w:rPr>
        <w:t>西吉县公安局主要职能既是负责组织协调的领导机关，又是直接指挥参与社会治安管理和查处各类案件的实战部门,领导、管理全县范围内的公安工作。其主要职责是：贯彻执行党和国家关于公安工作的路线、方针、政策、和法律法规，组织、指导、检查、监督全县公安工作；掌握影响稳定、危害国内安全和社会治安情况；预防、制止和侦查违法犯罪活动，负责对危害国家安全案件、刑事案件、经济案件以及毒品案件的侦查、预审工会工作；维护交通安全和交通秩序，处理交通事故，加强车辆及驾驶员的依法管理；维护社会治安秩序，制止危害社会治安秩序的行为。</w:t>
      </w:r>
    </w:p>
    <w:p>
      <w:pPr>
        <w:widowControl/>
        <w:spacing w:line="560" w:lineRule="exact"/>
        <w:ind w:firstLine="480"/>
        <w:jc w:val="left"/>
        <w:rPr>
          <w:rFonts w:ascii="黑体" w:hAnsi="黑体" w:eastAsia="黑体" w:cs="Times New Roman"/>
          <w:kern w:val="0"/>
          <w:sz w:val="32"/>
          <w:szCs w:val="32"/>
        </w:rPr>
      </w:pPr>
      <w:r>
        <w:rPr>
          <w:rFonts w:hint="eastAsia" w:ascii="黑体" w:hAnsi="黑体" w:eastAsia="黑体" w:cs="黑体"/>
          <w:kern w:val="0"/>
          <w:sz w:val="32"/>
          <w:szCs w:val="32"/>
        </w:rPr>
        <w:t>　二、机构设置</w:t>
      </w:r>
    </w:p>
    <w:p>
      <w:pPr>
        <w:widowControl/>
        <w:spacing w:line="560" w:lineRule="exact"/>
        <w:ind w:firstLine="640" w:firstLineChars="200"/>
        <w:jc w:val="left"/>
        <w:rPr>
          <w:rFonts w:ascii="仿宋_GB2312" w:hAnsi="仿宋_GB2312" w:eastAsia="仿宋_GB2312" w:cs="仿宋_GB2312"/>
          <w:kern w:val="0"/>
          <w:sz w:val="32"/>
          <w:szCs w:val="32"/>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color w:val="1D1D1D"/>
          <w:kern w:val="0"/>
          <w:sz w:val="32"/>
          <w:szCs w:val="32"/>
        </w:rPr>
        <w:t>根据自治区编办规范县（市）公安机关机构设置方案，我局设11个内设机构2个监管场所和19个派出所，二级决算单位包括交通管理大队。</w:t>
      </w:r>
    </w:p>
    <w:p>
      <w:pPr>
        <w:spacing w:beforeLines="50" w:line="580" w:lineRule="exact"/>
        <w:ind w:firstLine="216" w:firstLineChars="49"/>
        <w:jc w:val="center"/>
        <w:outlineLvl w:val="1"/>
        <w:rPr>
          <w:rFonts w:ascii="黑体" w:hAnsi="黑体" w:eastAsia="黑体" w:cs="Times New Roman"/>
          <w:b/>
          <w:bCs/>
          <w:color w:val="000000"/>
          <w:kern w:val="0"/>
          <w:sz w:val="44"/>
          <w:szCs w:val="44"/>
        </w:rPr>
      </w:pPr>
      <w:r>
        <w:rPr>
          <w:rFonts w:hint="eastAsia" w:ascii="黑体" w:hAnsi="黑体" w:eastAsia="黑体" w:cs="黑体"/>
          <w:b/>
          <w:bCs/>
          <w:color w:val="000000"/>
          <w:kern w:val="0"/>
          <w:sz w:val="44"/>
          <w:szCs w:val="44"/>
        </w:rPr>
        <w:t>第二部分2019年度部门决算表</w:t>
      </w:r>
    </w:p>
    <w:tbl>
      <w:tblPr>
        <w:tblStyle w:val="4"/>
        <w:tblW w:w="13907" w:type="dxa"/>
        <w:tblInd w:w="93" w:type="dxa"/>
        <w:tblLayout w:type="autofit"/>
        <w:tblCellMar>
          <w:top w:w="0" w:type="dxa"/>
          <w:left w:w="108" w:type="dxa"/>
          <w:bottom w:w="0" w:type="dxa"/>
          <w:right w:w="108" w:type="dxa"/>
        </w:tblCellMar>
      </w:tblPr>
      <w:tblGrid>
        <w:gridCol w:w="3665"/>
        <w:gridCol w:w="517"/>
        <w:gridCol w:w="86"/>
        <w:gridCol w:w="850"/>
        <w:gridCol w:w="2127"/>
        <w:gridCol w:w="2358"/>
        <w:gridCol w:w="517"/>
        <w:gridCol w:w="668"/>
        <w:gridCol w:w="851"/>
        <w:gridCol w:w="2268"/>
      </w:tblGrid>
      <w:tr>
        <w:tblPrEx>
          <w:tblCellMar>
            <w:top w:w="0" w:type="dxa"/>
            <w:left w:w="108" w:type="dxa"/>
            <w:bottom w:w="0" w:type="dxa"/>
            <w:right w:w="108" w:type="dxa"/>
          </w:tblCellMar>
        </w:tblPrEx>
        <w:trPr>
          <w:trHeight w:val="390" w:hRule="atLeast"/>
        </w:trPr>
        <w:tc>
          <w:tcPr>
            <w:tcW w:w="13907" w:type="dxa"/>
            <w:gridSpan w:val="10"/>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收入支出决算总表</w:t>
            </w:r>
          </w:p>
        </w:tc>
      </w:tr>
      <w:tr>
        <w:tblPrEx>
          <w:tblCellMar>
            <w:top w:w="0" w:type="dxa"/>
            <w:left w:w="108" w:type="dxa"/>
            <w:bottom w:w="0" w:type="dxa"/>
            <w:right w:w="108" w:type="dxa"/>
          </w:tblCellMar>
        </w:tblPrEx>
        <w:trPr>
          <w:trHeight w:val="255" w:hRule="atLeast"/>
        </w:trPr>
        <w:tc>
          <w:tcPr>
            <w:tcW w:w="3665"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1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063" w:type="dxa"/>
            <w:gridSpan w:val="3"/>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35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1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787" w:type="dxa"/>
            <w:gridSpan w:val="3"/>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公开01表</w:t>
            </w:r>
          </w:p>
        </w:tc>
      </w:tr>
      <w:tr>
        <w:tblPrEx>
          <w:tblCellMar>
            <w:top w:w="0" w:type="dxa"/>
            <w:left w:w="108" w:type="dxa"/>
            <w:bottom w:w="0" w:type="dxa"/>
            <w:right w:w="108" w:type="dxa"/>
          </w:tblCellMar>
        </w:tblPrEx>
        <w:trPr>
          <w:trHeight w:val="255" w:hRule="atLeast"/>
        </w:trPr>
        <w:tc>
          <w:tcPr>
            <w:tcW w:w="3665"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部门：宁夏西吉县公安局（汇总）</w:t>
            </w:r>
          </w:p>
        </w:tc>
        <w:tc>
          <w:tcPr>
            <w:tcW w:w="51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063" w:type="dxa"/>
            <w:gridSpan w:val="3"/>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35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1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787" w:type="dxa"/>
            <w:gridSpan w:val="3"/>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7245" w:type="dxa"/>
            <w:gridSpan w:val="5"/>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收入</w:t>
            </w:r>
          </w:p>
        </w:tc>
        <w:tc>
          <w:tcPr>
            <w:tcW w:w="6662" w:type="dxa"/>
            <w:gridSpan w:val="5"/>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支出</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项目</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行次</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金额</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项目</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行次</w:t>
            </w:r>
          </w:p>
        </w:tc>
        <w:tc>
          <w:tcPr>
            <w:tcW w:w="22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栏次</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　</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栏次</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　</w:t>
            </w:r>
          </w:p>
        </w:tc>
        <w:tc>
          <w:tcPr>
            <w:tcW w:w="22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一、一般公共预算财政拨款收入</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116,584,375.86</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一、一般公共服务支出</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29</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二、政府性基金预算财政拨款收入</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二、外交支出</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三、上级补助收入</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三、国防支出</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31</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四、事业收入</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四、公共安全支出</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32</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124,621,011.64</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五、经营收入</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5</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五、教育支出</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33</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六、附属单位上缴收入</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6</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六、科学技术支出</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34</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七、其他收入</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7</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19,124,354.97</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七、文化旅游体育与传媒支出</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35</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8</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八、社会保障和就业支出</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36</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4,622,963.00</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9</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九、卫生健康支出</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37</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2,675,718.86</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10</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十、节能环保支出</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38</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100,000.00</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11</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十一、城乡社区支出</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39</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12</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十二、农林水支出</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13</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十三、交通运输支出</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41</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14</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十四、资源勘探信息等支出</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42</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15</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十五、商业服务业等支出</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43</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16</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十六、金融支出</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44</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17</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十七、援助其他地区支出</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45</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18</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十八、自然资源海洋气象等支出</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46</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19</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十九、住房保障支出</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47</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1,016,000.00</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20</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二十、粮油物资储备支出</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48</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21</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二十一、灾害防治及应急管理支出</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49</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22</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二十二、其他支出</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50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433,000.00</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23</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51</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szCs w:val="22"/>
              </w:rPr>
              <w:t>本年收入合计</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24</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135,708,730.83</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szCs w:val="22"/>
              </w:rPr>
              <w:t>本年支出合计</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52</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133,468,693.50</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用事业基金弥补收支差额</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25</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结余分配</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53</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年初结转和结余</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26</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3,197,951.83</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年末结转和结余</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54</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5,437,989.16</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27</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55</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4268"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szCs w:val="22"/>
              </w:rPr>
              <w:t>总计</w:t>
            </w:r>
          </w:p>
        </w:tc>
        <w:tc>
          <w:tcPr>
            <w:tcW w:w="85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28</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138,906,682.66</w:t>
            </w:r>
          </w:p>
        </w:tc>
        <w:tc>
          <w:tcPr>
            <w:tcW w:w="3543" w:type="dxa"/>
            <w:gridSpan w:val="3"/>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szCs w:val="22"/>
              </w:rPr>
              <w:t>总计</w:t>
            </w:r>
          </w:p>
        </w:tc>
        <w:tc>
          <w:tcPr>
            <w:tcW w:w="85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56</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138,906,682.66</w:t>
            </w:r>
          </w:p>
        </w:tc>
      </w:tr>
      <w:tr>
        <w:tblPrEx>
          <w:tblCellMar>
            <w:top w:w="0" w:type="dxa"/>
            <w:left w:w="108" w:type="dxa"/>
            <w:bottom w:w="0" w:type="dxa"/>
            <w:right w:w="108" w:type="dxa"/>
          </w:tblCellMar>
        </w:tblPrEx>
        <w:trPr>
          <w:trHeight w:val="308" w:hRule="atLeast"/>
        </w:trPr>
        <w:tc>
          <w:tcPr>
            <w:tcW w:w="13907" w:type="dxa"/>
            <w:gridSpan w:val="10"/>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注：本表反映部门本年度的总收支和年末结转结余情况。</w:t>
            </w:r>
          </w:p>
        </w:tc>
      </w:tr>
    </w:tbl>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tbl>
      <w:tblPr>
        <w:tblStyle w:val="4"/>
        <w:tblW w:w="13907" w:type="dxa"/>
        <w:tblInd w:w="93" w:type="dxa"/>
        <w:tblLayout w:type="autofit"/>
        <w:tblCellMar>
          <w:top w:w="0" w:type="dxa"/>
          <w:left w:w="108" w:type="dxa"/>
          <w:bottom w:w="0" w:type="dxa"/>
          <w:right w:w="108" w:type="dxa"/>
        </w:tblCellMar>
      </w:tblPr>
      <w:tblGrid>
        <w:gridCol w:w="986"/>
        <w:gridCol w:w="5408"/>
        <w:gridCol w:w="3119"/>
        <w:gridCol w:w="2409"/>
        <w:gridCol w:w="1985"/>
      </w:tblGrid>
      <w:tr>
        <w:tblPrEx>
          <w:tblCellMar>
            <w:top w:w="0" w:type="dxa"/>
            <w:left w:w="108" w:type="dxa"/>
            <w:bottom w:w="0" w:type="dxa"/>
            <w:right w:w="108" w:type="dxa"/>
          </w:tblCellMar>
        </w:tblPrEx>
        <w:trPr>
          <w:trHeight w:val="390" w:hRule="atLeast"/>
        </w:trPr>
        <w:tc>
          <w:tcPr>
            <w:tcW w:w="13907" w:type="dxa"/>
            <w:gridSpan w:val="5"/>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收入决算表</w:t>
            </w:r>
          </w:p>
        </w:tc>
      </w:tr>
      <w:tr>
        <w:tblPrEx>
          <w:tblCellMar>
            <w:top w:w="0" w:type="dxa"/>
            <w:left w:w="108" w:type="dxa"/>
            <w:bottom w:w="0" w:type="dxa"/>
            <w:right w:w="108" w:type="dxa"/>
          </w:tblCellMar>
        </w:tblPrEx>
        <w:trPr>
          <w:trHeight w:val="255" w:hRule="atLeast"/>
        </w:trPr>
        <w:tc>
          <w:tcPr>
            <w:tcW w:w="6394" w:type="dxa"/>
            <w:gridSpan w:val="2"/>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部门：宁夏西吉县公安局（汇总）</w:t>
            </w:r>
          </w:p>
        </w:tc>
        <w:tc>
          <w:tcPr>
            <w:tcW w:w="3119"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409"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985"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金额单位：元</w:t>
            </w:r>
          </w:p>
        </w:tc>
      </w:tr>
      <w:tr>
        <w:trPr>
          <w:trHeight w:val="308" w:hRule="atLeast"/>
        </w:trPr>
        <w:tc>
          <w:tcPr>
            <w:tcW w:w="6394"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项目</w:t>
            </w:r>
          </w:p>
        </w:tc>
        <w:tc>
          <w:tcPr>
            <w:tcW w:w="311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本年收入合计</w:t>
            </w:r>
          </w:p>
        </w:tc>
        <w:tc>
          <w:tcPr>
            <w:tcW w:w="240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财政拨款收入</w:t>
            </w:r>
          </w:p>
        </w:tc>
        <w:tc>
          <w:tcPr>
            <w:tcW w:w="198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其他收入</w:t>
            </w:r>
          </w:p>
        </w:tc>
      </w:tr>
      <w:tr>
        <w:tblPrEx>
          <w:tblCellMar>
            <w:top w:w="0" w:type="dxa"/>
            <w:left w:w="108" w:type="dxa"/>
            <w:bottom w:w="0" w:type="dxa"/>
            <w:right w:w="108" w:type="dxa"/>
          </w:tblCellMar>
        </w:tblPrEx>
        <w:trPr>
          <w:trHeight w:val="312" w:hRule="atLeast"/>
        </w:trPr>
        <w:tc>
          <w:tcPr>
            <w:tcW w:w="986"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功能分类科目编码</w:t>
            </w:r>
          </w:p>
        </w:tc>
        <w:tc>
          <w:tcPr>
            <w:tcW w:w="5408"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科目名称</w:t>
            </w:r>
          </w:p>
        </w:tc>
        <w:tc>
          <w:tcPr>
            <w:tcW w:w="31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40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98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540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1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40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98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540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11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40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98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6394"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栏次</w:t>
            </w:r>
          </w:p>
        </w:tc>
        <w:tc>
          <w:tcPr>
            <w:tcW w:w="311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w:t>
            </w:r>
          </w:p>
        </w:tc>
        <w:tc>
          <w:tcPr>
            <w:tcW w:w="240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w:t>
            </w:r>
          </w:p>
        </w:tc>
        <w:tc>
          <w:tcPr>
            <w:tcW w:w="1985"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7</w:t>
            </w:r>
          </w:p>
        </w:tc>
      </w:tr>
      <w:tr>
        <w:tblPrEx>
          <w:tblCellMar>
            <w:top w:w="0" w:type="dxa"/>
            <w:left w:w="108" w:type="dxa"/>
            <w:bottom w:w="0" w:type="dxa"/>
            <w:right w:w="108" w:type="dxa"/>
          </w:tblCellMar>
        </w:tblPrEx>
        <w:trPr>
          <w:trHeight w:val="308" w:hRule="atLeast"/>
        </w:trPr>
        <w:tc>
          <w:tcPr>
            <w:tcW w:w="6394"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合计</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szCs w:val="22"/>
              </w:rPr>
              <w:t>135,708,730.83</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szCs w:val="22"/>
              </w:rPr>
              <w:t>116,584,375.86</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szCs w:val="22"/>
              </w:rPr>
              <w:t>19,124,354.97</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w:t>
            </w:r>
          </w:p>
        </w:tc>
        <w:tc>
          <w:tcPr>
            <w:tcW w:w="54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公共安全支出</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127,294,048.97</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108,265,694.00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19,028,354.97</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20402</w:t>
            </w:r>
          </w:p>
        </w:tc>
        <w:tc>
          <w:tcPr>
            <w:tcW w:w="54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公安</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109,195,348.97</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106,865,694.00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2,329,654.97</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2040201</w:t>
            </w:r>
          </w:p>
        </w:tc>
        <w:tc>
          <w:tcPr>
            <w:tcW w:w="54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行政运行</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44,483,201.00</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44,483,201.00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2040202</w:t>
            </w:r>
          </w:p>
        </w:tc>
        <w:tc>
          <w:tcPr>
            <w:tcW w:w="54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一般行政管理事务</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42,416,655.00</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40,530,855.00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1,885,800.00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2040219</w:t>
            </w:r>
          </w:p>
        </w:tc>
        <w:tc>
          <w:tcPr>
            <w:tcW w:w="54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信息化建设</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2,084,860.00</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2,084,860.00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2040220</w:t>
            </w:r>
          </w:p>
        </w:tc>
        <w:tc>
          <w:tcPr>
            <w:tcW w:w="54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执法办案</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20,075,450.54</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19,766,778.00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308,672.54</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2040299</w:t>
            </w:r>
          </w:p>
        </w:tc>
        <w:tc>
          <w:tcPr>
            <w:tcW w:w="54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其他公安支出</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135,182.43</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135,182.43</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20408</w:t>
            </w:r>
          </w:p>
        </w:tc>
        <w:tc>
          <w:tcPr>
            <w:tcW w:w="54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强制隔离戒毒</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260,000.00</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260,000.00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2040806</w:t>
            </w:r>
          </w:p>
        </w:tc>
        <w:tc>
          <w:tcPr>
            <w:tcW w:w="54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所政设施建设</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260,000.00</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260,000.00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20499</w:t>
            </w:r>
          </w:p>
        </w:tc>
        <w:tc>
          <w:tcPr>
            <w:tcW w:w="54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其他公共安全支出</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17,838,700.00</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1,140,000.00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16,698,700.00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2049901</w:t>
            </w:r>
          </w:p>
        </w:tc>
        <w:tc>
          <w:tcPr>
            <w:tcW w:w="54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其他公共安全支出</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17,838,700.00</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1,140,000.00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16,698,700.00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208</w:t>
            </w:r>
          </w:p>
        </w:tc>
        <w:tc>
          <w:tcPr>
            <w:tcW w:w="54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社会保障和就业支出</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4,622,963.00</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4,622,963.00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20805</w:t>
            </w:r>
          </w:p>
        </w:tc>
        <w:tc>
          <w:tcPr>
            <w:tcW w:w="54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行政事业单位离退休</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4,622,963.00</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4,622,963.00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2080505</w:t>
            </w:r>
          </w:p>
        </w:tc>
        <w:tc>
          <w:tcPr>
            <w:tcW w:w="54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机关事业单位基本养老保险缴费支出</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4,622,963.00</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4,622,963.00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210</w:t>
            </w:r>
          </w:p>
        </w:tc>
        <w:tc>
          <w:tcPr>
            <w:tcW w:w="54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卫生健康支出</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2,675,718.86</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2,675,718.86</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21011</w:t>
            </w:r>
          </w:p>
        </w:tc>
        <w:tc>
          <w:tcPr>
            <w:tcW w:w="54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行政事业单位医疗</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2,675,718.86</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2,675,718.86</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2101101</w:t>
            </w:r>
          </w:p>
        </w:tc>
        <w:tc>
          <w:tcPr>
            <w:tcW w:w="54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行政单位医疗</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1,977,204.00</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1,977,204.00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2101103</w:t>
            </w:r>
          </w:p>
        </w:tc>
        <w:tc>
          <w:tcPr>
            <w:tcW w:w="54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公务员医疗补助</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698,514.86</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698,514.86</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211</w:t>
            </w:r>
          </w:p>
        </w:tc>
        <w:tc>
          <w:tcPr>
            <w:tcW w:w="54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节能环保支出</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100,000.00</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100,000.00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21110</w:t>
            </w:r>
          </w:p>
        </w:tc>
        <w:tc>
          <w:tcPr>
            <w:tcW w:w="54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能源节约利用</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100,000.00</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100,000.00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2111001</w:t>
            </w:r>
          </w:p>
        </w:tc>
        <w:tc>
          <w:tcPr>
            <w:tcW w:w="54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能源节约利用</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100,000.00</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100,000.00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221</w:t>
            </w:r>
          </w:p>
        </w:tc>
        <w:tc>
          <w:tcPr>
            <w:tcW w:w="54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住房保障支出</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1,016,000.00</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920,000.00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96,000.00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22102</w:t>
            </w:r>
          </w:p>
        </w:tc>
        <w:tc>
          <w:tcPr>
            <w:tcW w:w="54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住房改革支出</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1,016,000.00</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920,000.00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96,000.00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2210203</w:t>
            </w:r>
          </w:p>
        </w:tc>
        <w:tc>
          <w:tcPr>
            <w:tcW w:w="54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购房补贴</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1,016,000.00</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920,000.00</w:t>
            </w:r>
          </w:p>
        </w:tc>
        <w:tc>
          <w:tcPr>
            <w:tcW w:w="198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96,000.00</w:t>
            </w:r>
          </w:p>
        </w:tc>
      </w:tr>
      <w:tr>
        <w:tblPrEx>
          <w:tblCellMar>
            <w:top w:w="0" w:type="dxa"/>
            <w:left w:w="108" w:type="dxa"/>
            <w:bottom w:w="0" w:type="dxa"/>
            <w:right w:w="108" w:type="dxa"/>
          </w:tblCellMar>
        </w:tblPrEx>
        <w:trPr>
          <w:trHeight w:val="308" w:hRule="atLeast"/>
        </w:trPr>
        <w:tc>
          <w:tcPr>
            <w:tcW w:w="13907" w:type="dxa"/>
            <w:gridSpan w:val="5"/>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注：本表反映部门本年度取得的各项收入情况。</w:t>
            </w:r>
          </w:p>
        </w:tc>
      </w:tr>
    </w:tbl>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tbl>
      <w:tblPr>
        <w:tblStyle w:val="4"/>
        <w:tblW w:w="13907" w:type="dxa"/>
        <w:tblInd w:w="93" w:type="dxa"/>
        <w:tblLayout w:type="autofit"/>
        <w:tblCellMar>
          <w:top w:w="0" w:type="dxa"/>
          <w:left w:w="108" w:type="dxa"/>
          <w:bottom w:w="0" w:type="dxa"/>
          <w:right w:w="108" w:type="dxa"/>
        </w:tblCellMar>
      </w:tblPr>
      <w:tblGrid>
        <w:gridCol w:w="986"/>
        <w:gridCol w:w="5975"/>
        <w:gridCol w:w="2552"/>
        <w:gridCol w:w="2126"/>
        <w:gridCol w:w="2268"/>
      </w:tblGrid>
      <w:tr>
        <w:tblPrEx>
          <w:tblCellMar>
            <w:top w:w="0" w:type="dxa"/>
            <w:left w:w="108" w:type="dxa"/>
            <w:bottom w:w="0" w:type="dxa"/>
            <w:right w:w="108" w:type="dxa"/>
          </w:tblCellMar>
        </w:tblPrEx>
        <w:trPr>
          <w:trHeight w:val="390" w:hRule="atLeast"/>
        </w:trPr>
        <w:tc>
          <w:tcPr>
            <w:tcW w:w="13907" w:type="dxa"/>
            <w:gridSpan w:val="5"/>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支出决算表</w:t>
            </w:r>
          </w:p>
        </w:tc>
      </w:tr>
      <w:tr>
        <w:tblPrEx>
          <w:tblCellMar>
            <w:top w:w="0" w:type="dxa"/>
            <w:left w:w="108" w:type="dxa"/>
            <w:bottom w:w="0" w:type="dxa"/>
            <w:right w:w="108" w:type="dxa"/>
          </w:tblCellMar>
        </w:tblPrEx>
        <w:trPr>
          <w:trHeight w:val="255" w:hRule="atLeast"/>
        </w:trPr>
        <w:tc>
          <w:tcPr>
            <w:tcW w:w="6961" w:type="dxa"/>
            <w:gridSpan w:val="2"/>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部门：宁夏西吉县公安局（汇总）</w:t>
            </w:r>
          </w:p>
        </w:tc>
        <w:tc>
          <w:tcPr>
            <w:tcW w:w="255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12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268"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单位：元</w:t>
            </w:r>
          </w:p>
        </w:tc>
      </w:tr>
      <w:tr>
        <w:trPr>
          <w:trHeight w:val="308" w:hRule="atLeast"/>
        </w:trPr>
        <w:tc>
          <w:tcPr>
            <w:tcW w:w="6961"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项目</w:t>
            </w:r>
          </w:p>
        </w:tc>
        <w:tc>
          <w:tcPr>
            <w:tcW w:w="2552"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本年支出合计</w:t>
            </w:r>
          </w:p>
        </w:tc>
        <w:tc>
          <w:tcPr>
            <w:tcW w:w="212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基本支出</w:t>
            </w:r>
          </w:p>
        </w:tc>
        <w:tc>
          <w:tcPr>
            <w:tcW w:w="226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986"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功能分类科目编码</w:t>
            </w:r>
          </w:p>
        </w:tc>
        <w:tc>
          <w:tcPr>
            <w:tcW w:w="5975"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科目名称</w:t>
            </w:r>
          </w:p>
        </w:tc>
        <w:tc>
          <w:tcPr>
            <w:tcW w:w="255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12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6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597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55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12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6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597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55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12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6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6961"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栏次</w:t>
            </w:r>
          </w:p>
        </w:tc>
        <w:tc>
          <w:tcPr>
            <w:tcW w:w="255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w:t>
            </w:r>
          </w:p>
        </w:tc>
        <w:tc>
          <w:tcPr>
            <w:tcW w:w="212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w:t>
            </w:r>
          </w:p>
        </w:tc>
        <w:tc>
          <w:tcPr>
            <w:tcW w:w="226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6961"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合计</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szCs w:val="22"/>
              </w:rPr>
              <w:t>133,468,693.50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szCs w:val="22"/>
              </w:rPr>
              <w:t>58,815,594.59</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szCs w:val="22"/>
              </w:rPr>
              <w:t>74,653,098.91</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公共安全支出</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124,621,011.64</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50,500,912.73</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74,120,098.91</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20402</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公安</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106,200,865.42</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50,500,912.73</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55,699,952.69</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2040201</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行政运行</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44,497,800.12</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44,497,800.12</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2040202</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一般行政管理事务</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40,453,365.27</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40,453,365.27</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2040219</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信息化建设</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2,009,747.35</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2,009,747.35</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2040220</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执法办案</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19,027,861.33</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5,791,021.26</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13,236,840.07</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2040299</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其他公安支出</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212,091.35</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212,091.35</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20408</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强制隔离戒毒</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260,000.00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260,000.00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2040806</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所政设施建设</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260,000.00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260,000.00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20499</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其他公共安全支出</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18,160,146.22</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18,160,146.22</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2049901</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其他公共安全支出</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18,160,146.22</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18,160,146.22</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208</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社会保障和就业支出</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4,622,963.00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4,622,963.00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20805</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行政事业单位离退休</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4,622,963.00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4,622,963.00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2080505</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机关事业单位基本养老保险缴费支出</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4,622,963.00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4,622,963.00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210</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卫生健康支出</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2,675,718.86</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2,675,718.86</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21011</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行政事业单位医疗</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2,675,718.86</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2,675,718.86</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2101101</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行政单位医疗</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1,977,204.00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1,977,204.00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2101103</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公务员医疗补助</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698,514.86</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698,514.86</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211</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节能环保支出</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100,000.00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100,000.00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21110</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能源节约利用</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100,000.00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100,000.00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2111001</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能源节约利用</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100,000.00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100,000.00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221</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住房保障支出</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1,016,000.00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1,016,000.00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22102</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住房改革支出</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1,016,000.00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1,016,000.00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2210203</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购房补贴</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1,016,000.00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1,016,000.00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229</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其他支出</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433,000.00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433,000.00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22999</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其他支出</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433,000.00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433,000.00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2299901</w:t>
            </w:r>
          </w:p>
        </w:tc>
        <w:tc>
          <w:tcPr>
            <w:tcW w:w="597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其他支出</w:t>
            </w:r>
          </w:p>
        </w:tc>
        <w:tc>
          <w:tcPr>
            <w:tcW w:w="25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433,000.00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433,000.00</w:t>
            </w:r>
          </w:p>
        </w:tc>
      </w:tr>
      <w:tr>
        <w:tblPrEx>
          <w:tblCellMar>
            <w:top w:w="0" w:type="dxa"/>
            <w:left w:w="108" w:type="dxa"/>
            <w:bottom w:w="0" w:type="dxa"/>
            <w:right w:w="108" w:type="dxa"/>
          </w:tblCellMar>
        </w:tblPrEx>
        <w:trPr>
          <w:trHeight w:val="308" w:hRule="atLeast"/>
        </w:trPr>
        <w:tc>
          <w:tcPr>
            <w:tcW w:w="13907" w:type="dxa"/>
            <w:gridSpan w:val="5"/>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注：本表反映部门本年度各项支出情况。</w:t>
            </w:r>
          </w:p>
        </w:tc>
      </w:tr>
    </w:tbl>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tbl>
      <w:tblPr>
        <w:tblStyle w:val="4"/>
        <w:tblW w:w="13480" w:type="dxa"/>
        <w:tblInd w:w="93" w:type="dxa"/>
        <w:tblLayout w:type="autofit"/>
        <w:tblCellMar>
          <w:top w:w="0" w:type="dxa"/>
          <w:left w:w="108" w:type="dxa"/>
          <w:bottom w:w="0" w:type="dxa"/>
          <w:right w:w="108" w:type="dxa"/>
        </w:tblCellMar>
      </w:tblPr>
      <w:tblGrid>
        <w:gridCol w:w="2890"/>
        <w:gridCol w:w="536"/>
        <w:gridCol w:w="1756"/>
        <w:gridCol w:w="3380"/>
        <w:gridCol w:w="514"/>
        <w:gridCol w:w="1756"/>
        <w:gridCol w:w="1756"/>
        <w:gridCol w:w="1230"/>
      </w:tblGrid>
      <w:tr>
        <w:tblPrEx>
          <w:tblCellMar>
            <w:top w:w="0" w:type="dxa"/>
            <w:left w:w="108" w:type="dxa"/>
            <w:bottom w:w="0" w:type="dxa"/>
            <w:right w:w="108" w:type="dxa"/>
          </w:tblCellMar>
        </w:tblPrEx>
        <w:trPr>
          <w:trHeight w:val="390" w:hRule="atLeast"/>
        </w:trPr>
        <w:tc>
          <w:tcPr>
            <w:tcW w:w="13480" w:type="dxa"/>
            <w:gridSpan w:val="8"/>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财政拨款收入支出决算总表</w:t>
            </w:r>
          </w:p>
        </w:tc>
      </w:tr>
      <w:tr>
        <w:tblPrEx>
          <w:tblCellMar>
            <w:top w:w="0" w:type="dxa"/>
            <w:left w:w="108" w:type="dxa"/>
            <w:bottom w:w="0" w:type="dxa"/>
            <w:right w:w="108" w:type="dxa"/>
          </w:tblCellMar>
        </w:tblPrEx>
        <w:trPr>
          <w:trHeight w:val="255" w:hRule="atLeast"/>
        </w:trPr>
        <w:tc>
          <w:tcPr>
            <w:tcW w:w="3426" w:type="dxa"/>
            <w:gridSpan w:val="2"/>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部门：宁夏西吉县公安局（汇总）</w:t>
            </w:r>
          </w:p>
        </w:tc>
        <w:tc>
          <w:tcPr>
            <w:tcW w:w="16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3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1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57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金额单位：元</w:t>
            </w:r>
          </w:p>
        </w:tc>
      </w:tr>
      <w:tr>
        <w:trPr>
          <w:trHeight w:val="308" w:hRule="atLeast"/>
        </w:trPr>
        <w:tc>
          <w:tcPr>
            <w:tcW w:w="5106"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收     入</w:t>
            </w:r>
          </w:p>
        </w:tc>
        <w:tc>
          <w:tcPr>
            <w:tcW w:w="8374" w:type="dxa"/>
            <w:gridSpan w:val="5"/>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支     出</w:t>
            </w:r>
          </w:p>
        </w:tc>
      </w:tr>
      <w:tr>
        <w:tblPrEx>
          <w:tblCellMar>
            <w:top w:w="0" w:type="dxa"/>
            <w:left w:w="108" w:type="dxa"/>
            <w:bottom w:w="0" w:type="dxa"/>
            <w:right w:w="108" w:type="dxa"/>
          </w:tblCellMar>
        </w:tblPrEx>
        <w:trPr>
          <w:trHeight w:val="312" w:hRule="atLeast"/>
        </w:trPr>
        <w:tc>
          <w:tcPr>
            <w:tcW w:w="2890"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项目</w:t>
            </w:r>
          </w:p>
        </w:tc>
        <w:tc>
          <w:tcPr>
            <w:tcW w:w="53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行次</w:t>
            </w:r>
          </w:p>
        </w:tc>
        <w:tc>
          <w:tcPr>
            <w:tcW w:w="168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金额</w:t>
            </w:r>
          </w:p>
        </w:tc>
        <w:tc>
          <w:tcPr>
            <w:tcW w:w="338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项目</w:t>
            </w:r>
          </w:p>
        </w:tc>
        <w:tc>
          <w:tcPr>
            <w:tcW w:w="514"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行次</w:t>
            </w:r>
          </w:p>
        </w:tc>
        <w:tc>
          <w:tcPr>
            <w:tcW w:w="1570"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合计</w:t>
            </w:r>
          </w:p>
        </w:tc>
        <w:tc>
          <w:tcPr>
            <w:tcW w:w="168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一般公共预算财政拨款</w:t>
            </w:r>
          </w:p>
        </w:tc>
        <w:tc>
          <w:tcPr>
            <w:tcW w:w="123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政府性基金预算财政拨款</w:t>
            </w:r>
          </w:p>
        </w:tc>
      </w:tr>
      <w:tr>
        <w:tblPrEx>
          <w:tblCellMar>
            <w:top w:w="0" w:type="dxa"/>
            <w:left w:w="108" w:type="dxa"/>
            <w:bottom w:w="0" w:type="dxa"/>
            <w:right w:w="108" w:type="dxa"/>
          </w:tblCellMar>
        </w:tblPrEx>
        <w:trPr>
          <w:trHeight w:val="615" w:hRule="atLeast"/>
        </w:trPr>
        <w:tc>
          <w:tcPr>
            <w:tcW w:w="28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5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3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51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7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3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栏次</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栏次</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　</w:t>
            </w:r>
          </w:p>
        </w:tc>
        <w:tc>
          <w:tcPr>
            <w:tcW w:w="157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w:t>
            </w:r>
          </w:p>
        </w:tc>
        <w:tc>
          <w:tcPr>
            <w:tcW w:w="16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w:t>
            </w:r>
          </w:p>
        </w:tc>
        <w:tc>
          <w:tcPr>
            <w:tcW w:w="123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一、一般公共预算财政拨款</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116,584,375.86</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一、一般公共服务支出</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二、政府性基金预算财政拨款</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二、外交支出</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31</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三、国防支出</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32</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四、公共安全支出</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33</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105,880,255.51</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105,880,255.51</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5</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五、教育支出</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34</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6</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六、科学技术支出</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35</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7</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七、文化旅游体育与传媒支出</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36</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8</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八、社会保障和就业支出</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37</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4,622,963.00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4,622,963.00</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9</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九、卫生健康支出</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38</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2,675,718.86</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2,675,718.86</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十、节能环保支出</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39</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100,000.00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100,000.00</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11</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十一、城乡社区支出</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12</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十二、农林水支出</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41</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13</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十三、交通运输支出</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42</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14</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十四、资源勘探信息等支出</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43</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15</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十五、商业服务业等支出</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44</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16</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十六、金融支出</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45</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17</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十七、援助其他地区支出</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46</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18</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十八、自然资源海洋气象等支出</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47</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19</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十九、住房保障支出</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48</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920,000.00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920,000.00</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二十、粮油物资储备支出</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49</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21</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二十一、灾害防治及应急管理支出</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50</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22</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二十二、其他支出</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51</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23</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52</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szCs w:val="22"/>
              </w:rPr>
              <w:t>本年收入合计</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24</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116,584,375.86</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szCs w:val="22"/>
              </w:rPr>
              <w:t>本年支出合计</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53</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114,198,937.37</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114,198,937.37</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年初财政拨款结转和结余</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25</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1,708,350.83</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年末财政拨款结转和结余</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54</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4,093,789.32</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4,093,789.32</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一、一般公共预算财政拨款</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26</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1,708,350.83</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55</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二、政府性基金预算财政拨款</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27</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56</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28</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57</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289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szCs w:val="22"/>
              </w:rPr>
              <w:t>总计</w:t>
            </w:r>
          </w:p>
        </w:tc>
        <w:tc>
          <w:tcPr>
            <w:tcW w:w="53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29</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118,292,726.69</w:t>
            </w:r>
          </w:p>
        </w:tc>
        <w:tc>
          <w:tcPr>
            <w:tcW w:w="338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szCs w:val="22"/>
              </w:rPr>
              <w:t>总计</w:t>
            </w:r>
          </w:p>
        </w:tc>
        <w:tc>
          <w:tcPr>
            <w:tcW w:w="51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58</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118,292,726.69</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118,292,726.69</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480" w:type="dxa"/>
            <w:gridSpan w:val="8"/>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注：本表反映部门本年度一般公共预算财政拨款和政府性基金预算财政拨款的总收支和年末结转结余情况。</w:t>
            </w:r>
          </w:p>
        </w:tc>
      </w:tr>
    </w:tbl>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一般公共预算财政拨款支出决算表</w:t>
      </w:r>
    </w:p>
    <w:tbl>
      <w:tblPr>
        <w:tblStyle w:val="4"/>
        <w:tblW w:w="13907" w:type="dxa"/>
        <w:tblInd w:w="93" w:type="dxa"/>
        <w:tblLayout w:type="autofit"/>
        <w:tblCellMar>
          <w:top w:w="0" w:type="dxa"/>
          <w:left w:w="108" w:type="dxa"/>
          <w:bottom w:w="0" w:type="dxa"/>
          <w:right w:w="108" w:type="dxa"/>
        </w:tblCellMar>
      </w:tblPr>
      <w:tblGrid>
        <w:gridCol w:w="1020"/>
        <w:gridCol w:w="3940"/>
        <w:gridCol w:w="2260"/>
        <w:gridCol w:w="1584"/>
        <w:gridCol w:w="676"/>
        <w:gridCol w:w="1592"/>
        <w:gridCol w:w="2835"/>
      </w:tblGrid>
      <w:tr>
        <w:tblPrEx>
          <w:tblCellMar>
            <w:top w:w="0" w:type="dxa"/>
            <w:left w:w="108" w:type="dxa"/>
            <w:bottom w:w="0" w:type="dxa"/>
            <w:right w:w="108" w:type="dxa"/>
          </w:tblCellMar>
        </w:tblPrEx>
        <w:trPr>
          <w:trHeight w:val="255" w:hRule="atLeast"/>
        </w:trPr>
        <w:tc>
          <w:tcPr>
            <w:tcW w:w="4960" w:type="dxa"/>
            <w:gridSpan w:val="2"/>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部门：宁夏西吉县公安局（汇总）</w:t>
            </w:r>
          </w:p>
        </w:tc>
        <w:tc>
          <w:tcPr>
            <w:tcW w:w="226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26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427"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4960"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项目</w:t>
            </w:r>
          </w:p>
        </w:tc>
        <w:tc>
          <w:tcPr>
            <w:tcW w:w="8947" w:type="dxa"/>
            <w:gridSpan w:val="5"/>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本年支出</w:t>
            </w:r>
          </w:p>
        </w:tc>
      </w:tr>
      <w:tr>
        <w:tblPrEx>
          <w:tblCellMar>
            <w:top w:w="0" w:type="dxa"/>
            <w:left w:w="108" w:type="dxa"/>
            <w:bottom w:w="0" w:type="dxa"/>
            <w:right w:w="108" w:type="dxa"/>
          </w:tblCellMar>
        </w:tblPrEx>
        <w:trPr>
          <w:trHeight w:val="312" w:hRule="atLeast"/>
        </w:trPr>
        <w:tc>
          <w:tcPr>
            <w:tcW w:w="1020"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功能分类科目编码</w:t>
            </w:r>
          </w:p>
        </w:tc>
        <w:tc>
          <w:tcPr>
            <w:tcW w:w="3940"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科目名称</w:t>
            </w:r>
          </w:p>
        </w:tc>
        <w:tc>
          <w:tcPr>
            <w:tcW w:w="3844"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小计</w:t>
            </w:r>
          </w:p>
        </w:tc>
        <w:tc>
          <w:tcPr>
            <w:tcW w:w="2268"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基本支出</w:t>
            </w:r>
          </w:p>
        </w:tc>
        <w:tc>
          <w:tcPr>
            <w:tcW w:w="2835"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0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94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84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68"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83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10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94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84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268"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83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4960"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栏次</w:t>
            </w:r>
          </w:p>
        </w:tc>
        <w:tc>
          <w:tcPr>
            <w:tcW w:w="3844"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w:t>
            </w:r>
          </w:p>
        </w:tc>
        <w:tc>
          <w:tcPr>
            <w:tcW w:w="283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4960"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合计</w:t>
            </w:r>
          </w:p>
        </w:tc>
        <w:tc>
          <w:tcPr>
            <w:tcW w:w="38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szCs w:val="22"/>
              </w:rPr>
              <w:t>114,198,937.37</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szCs w:val="22"/>
              </w:rPr>
              <w:t>58,438,830.70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szCs w:val="22"/>
              </w:rPr>
              <w:t>55,760,106.67</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公共安全支出</w:t>
            </w:r>
          </w:p>
        </w:tc>
        <w:tc>
          <w:tcPr>
            <w:tcW w:w="38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105,880,255.51</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50,220,148.84</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55,660,106.67</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20402</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公安</w:t>
            </w:r>
          </w:p>
        </w:tc>
        <w:tc>
          <w:tcPr>
            <w:tcW w:w="38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104,522,398.51</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50,220,148.84</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54,302,249.67</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2040201</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行政运行</w:t>
            </w:r>
          </w:p>
        </w:tc>
        <w:tc>
          <w:tcPr>
            <w:tcW w:w="38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44,497,800.12</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44,497,800.12</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2040202</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一般行政管理事务</w:t>
            </w:r>
          </w:p>
        </w:tc>
        <w:tc>
          <w:tcPr>
            <w:tcW w:w="38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39,325,312.25</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39,325,312.25</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2040219</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信息化建设</w:t>
            </w:r>
          </w:p>
        </w:tc>
        <w:tc>
          <w:tcPr>
            <w:tcW w:w="38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2,009,747.35</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2,009,747.35</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2040220</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执法办案</w:t>
            </w:r>
          </w:p>
        </w:tc>
        <w:tc>
          <w:tcPr>
            <w:tcW w:w="38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18,689,538.79</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5,722,348.72</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12,967,190.07</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20408</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强制隔离戒毒</w:t>
            </w:r>
          </w:p>
        </w:tc>
        <w:tc>
          <w:tcPr>
            <w:tcW w:w="38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260,000.00</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260,000.00</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2040806</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所政设施建设</w:t>
            </w:r>
          </w:p>
        </w:tc>
        <w:tc>
          <w:tcPr>
            <w:tcW w:w="38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260,000.00</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260,000.00</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20499</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其他公共安全支出</w:t>
            </w:r>
          </w:p>
        </w:tc>
        <w:tc>
          <w:tcPr>
            <w:tcW w:w="38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1,097,857.00</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1,097,857.00</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2049901</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其他公共安全支出</w:t>
            </w:r>
          </w:p>
        </w:tc>
        <w:tc>
          <w:tcPr>
            <w:tcW w:w="38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1,097,857.00</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1,097,857.00</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208</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社会保障和就业支出</w:t>
            </w:r>
          </w:p>
        </w:tc>
        <w:tc>
          <w:tcPr>
            <w:tcW w:w="38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4,622,963.00</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4,622,963.00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20805</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行政事业单位离退休</w:t>
            </w:r>
          </w:p>
        </w:tc>
        <w:tc>
          <w:tcPr>
            <w:tcW w:w="38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4,622,963.00</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4,622,963.00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2080505</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机关事业单位基本养老保险缴费支出</w:t>
            </w:r>
          </w:p>
        </w:tc>
        <w:tc>
          <w:tcPr>
            <w:tcW w:w="38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4,622,963.00</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4,622,963.00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210</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卫生健康支出</w:t>
            </w:r>
          </w:p>
        </w:tc>
        <w:tc>
          <w:tcPr>
            <w:tcW w:w="38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2,675,718.86</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2,675,718.86</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21011</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行政事业单位医疗</w:t>
            </w:r>
          </w:p>
        </w:tc>
        <w:tc>
          <w:tcPr>
            <w:tcW w:w="38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2,675,718.86</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2,675,718.86</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2101101</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行政单位医疗</w:t>
            </w:r>
          </w:p>
        </w:tc>
        <w:tc>
          <w:tcPr>
            <w:tcW w:w="38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1,977,204.00</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1,977,204.00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2101103</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公务员医疗补助</w:t>
            </w:r>
          </w:p>
        </w:tc>
        <w:tc>
          <w:tcPr>
            <w:tcW w:w="38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698,514.86</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698,514.86</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211</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节能环保支出</w:t>
            </w:r>
          </w:p>
        </w:tc>
        <w:tc>
          <w:tcPr>
            <w:tcW w:w="38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100,000.00</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100,000.00</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21110</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能源节约利用</w:t>
            </w:r>
          </w:p>
        </w:tc>
        <w:tc>
          <w:tcPr>
            <w:tcW w:w="38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100,000.00</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100,000.00</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2111001</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能源节约利用</w:t>
            </w:r>
          </w:p>
        </w:tc>
        <w:tc>
          <w:tcPr>
            <w:tcW w:w="38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100,000.00</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100,000.00</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221</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住房保障支出</w:t>
            </w:r>
          </w:p>
        </w:tc>
        <w:tc>
          <w:tcPr>
            <w:tcW w:w="38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920,000.00</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920,000.00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22102</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住房改革支出</w:t>
            </w:r>
          </w:p>
        </w:tc>
        <w:tc>
          <w:tcPr>
            <w:tcW w:w="38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920,000.00</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920,000.00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2210203</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购房补贴</w:t>
            </w:r>
          </w:p>
        </w:tc>
        <w:tc>
          <w:tcPr>
            <w:tcW w:w="384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920,000.00</w:t>
            </w:r>
          </w:p>
        </w:tc>
        <w:tc>
          <w:tcPr>
            <w:tcW w:w="226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920,000.00</w:t>
            </w:r>
          </w:p>
        </w:tc>
        <w:tc>
          <w:tcPr>
            <w:tcW w:w="28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907" w:type="dxa"/>
            <w:gridSpan w:val="7"/>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注：本表反映部门本年度一般公共预算财政拨款支出情况。</w:t>
            </w:r>
          </w:p>
        </w:tc>
      </w:tr>
    </w:tbl>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tbl>
      <w:tblPr>
        <w:tblStyle w:val="4"/>
        <w:tblpPr w:leftFromText="180" w:rightFromText="180" w:horzAnchor="margin" w:tblpXSpec="center" w:tblpY="600"/>
        <w:tblW w:w="14827" w:type="dxa"/>
        <w:tblInd w:w="0" w:type="dxa"/>
        <w:tblLayout w:type="autofit"/>
        <w:tblCellMar>
          <w:top w:w="0" w:type="dxa"/>
          <w:left w:w="108" w:type="dxa"/>
          <w:bottom w:w="0" w:type="dxa"/>
          <w:right w:w="108" w:type="dxa"/>
        </w:tblCellMar>
      </w:tblPr>
      <w:tblGrid>
        <w:gridCol w:w="766"/>
        <w:gridCol w:w="2084"/>
        <w:gridCol w:w="1646"/>
        <w:gridCol w:w="1189"/>
        <w:gridCol w:w="2127"/>
        <w:gridCol w:w="1536"/>
        <w:gridCol w:w="1015"/>
        <w:gridCol w:w="2928"/>
        <w:gridCol w:w="1536"/>
      </w:tblGrid>
      <w:tr>
        <w:tblPrEx>
          <w:tblCellMar>
            <w:top w:w="0" w:type="dxa"/>
            <w:left w:w="108" w:type="dxa"/>
            <w:bottom w:w="0" w:type="dxa"/>
            <w:right w:w="108" w:type="dxa"/>
          </w:tblCellMar>
        </w:tblPrEx>
        <w:trPr>
          <w:trHeight w:val="713" w:hRule="atLeast"/>
        </w:trPr>
        <w:tc>
          <w:tcPr>
            <w:tcW w:w="14827" w:type="dxa"/>
            <w:gridSpan w:val="9"/>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一般公共预算财政拨款基本支出决算表</w:t>
            </w:r>
          </w:p>
        </w:tc>
      </w:tr>
      <w:tr>
        <w:tblPrEx>
          <w:tblCellMar>
            <w:top w:w="0" w:type="dxa"/>
            <w:left w:w="108" w:type="dxa"/>
            <w:bottom w:w="0" w:type="dxa"/>
            <w:right w:w="108" w:type="dxa"/>
          </w:tblCellMar>
        </w:tblPrEx>
        <w:trPr>
          <w:trHeight w:val="308" w:hRule="atLeast"/>
        </w:trPr>
        <w:tc>
          <w:tcPr>
            <w:tcW w:w="4496"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人员经费</w:t>
            </w:r>
          </w:p>
        </w:tc>
        <w:tc>
          <w:tcPr>
            <w:tcW w:w="10331" w:type="dxa"/>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766"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科目编码</w:t>
            </w:r>
          </w:p>
        </w:tc>
        <w:tc>
          <w:tcPr>
            <w:tcW w:w="2084"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科目名称</w:t>
            </w:r>
          </w:p>
        </w:tc>
        <w:tc>
          <w:tcPr>
            <w:tcW w:w="164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决算数</w:t>
            </w:r>
          </w:p>
        </w:tc>
        <w:tc>
          <w:tcPr>
            <w:tcW w:w="118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科目编码</w:t>
            </w:r>
          </w:p>
        </w:tc>
        <w:tc>
          <w:tcPr>
            <w:tcW w:w="2127"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科目名称</w:t>
            </w:r>
          </w:p>
        </w:tc>
        <w:tc>
          <w:tcPr>
            <w:tcW w:w="153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决算数</w:t>
            </w:r>
          </w:p>
        </w:tc>
        <w:tc>
          <w:tcPr>
            <w:tcW w:w="1015"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科目编码</w:t>
            </w:r>
          </w:p>
        </w:tc>
        <w:tc>
          <w:tcPr>
            <w:tcW w:w="292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科目名称</w:t>
            </w:r>
          </w:p>
        </w:tc>
        <w:tc>
          <w:tcPr>
            <w:tcW w:w="153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决算数</w:t>
            </w:r>
          </w:p>
        </w:tc>
      </w:tr>
      <w:tr>
        <w:tblPrEx>
          <w:tblCellMar>
            <w:top w:w="0" w:type="dxa"/>
            <w:left w:w="108" w:type="dxa"/>
            <w:bottom w:w="0" w:type="dxa"/>
            <w:right w:w="108" w:type="dxa"/>
          </w:tblCellMar>
        </w:tblPrEx>
        <w:trPr>
          <w:trHeight w:val="312" w:hRule="atLeast"/>
        </w:trPr>
        <w:tc>
          <w:tcPr>
            <w:tcW w:w="76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08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4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8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1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1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92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301</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工资福利支出</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49,001,149.84</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商品和服务支出</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7,427,528.86</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307</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债务利息及费用支出</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30101</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基本工资</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11,858,173.00</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30201</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办公费</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627,943.53</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30701</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国内债务付息</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30102</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津贴补贴</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20,530,597.00</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30202</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印刷费</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230,637.83</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30702</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国外债务付息</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30103</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奖金</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6,221,105.00</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30203</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咨询费</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310</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资本性支出</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262,391.52</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30106</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伙食补助费</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30204</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手续费</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1,903.71</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31001</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房屋建筑物购建</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30107</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绩效工资</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30205</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水费</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49,766.60</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31002</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办公设备购置</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217,478.00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30108</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机关事业单位基本养老保险缴费</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4,622,963.20</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30206</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电费</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494,252.94</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31003</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专用设备购置</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44,913.52</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30109</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职业年金缴费</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30207</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邮电费</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19,530.70</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31005</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基础设施建设</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30110</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职工基本医疗保险缴费</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1,982,680.89</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30208</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取暖费</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304,829.00</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31006</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大型修缮</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30111</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公务员医疗补助缴费</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687,677.67</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30209</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物业管理费</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31007</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信息网络及软件购置更新</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30112</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其他社会保障缴费</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281,549.08</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30211</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差旅费</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845,471.17</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31008</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物资储备</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30113</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住房公积金</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30212</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因公出国（境）费用</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31009</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土地补偿</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30114</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医疗费</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30213</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维修（护）费</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908,810.43</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31010</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安置补助</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30199</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其他工资福利支出</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2,816,404.00</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30214</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租赁费</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31011</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地上附着物和青苗补偿</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303</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对个人和家庭的补助</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1,747,760.48</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30215</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会议费</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5,131.00</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31012</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拆迁补偿</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30301</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离休费</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30216</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培训费</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25,570.00</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31013</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公务用车购置</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30302</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退休费</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30217</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公务接待费</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22,822.00</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31019</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其他交通工具购置</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30303</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退职（役）费</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30218</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专用材料费</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1,150.00</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31021</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文物和陈列品购置</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30304</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抚恤金</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251,867.00</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30224</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被装购置费</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31022</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无形资产购置</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30305</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生活补助</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1,424,656.62</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30225</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专用燃料费</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1,860.00</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31099</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其他资本性支出</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30306</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救济费</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30226</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劳务费</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1,212,425.00</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399</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其他支出</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30307</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医疗费补助</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10,836.86</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30227</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委托业务费</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18,459.50</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39906</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赠与</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30308</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助学金</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30228</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工会经费</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693,500.00</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39907</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国家赔偿费用支出</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30309</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奖励金</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60,400.00</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30229</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福利费</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39908</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对民间非营利组织和群众性自治组织补贴</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30310</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个人农业生产补贴</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30231</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公务用车运行维护费</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149,996.32</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39999</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其他支出</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30399</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其他对个人和家庭的补助</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30239</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其他交通费用</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993,930.00</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30240</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税金及附加费用</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0.00</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2084"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189"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30299</w:t>
            </w:r>
          </w:p>
        </w:tc>
        <w:tc>
          <w:tcPr>
            <w:tcW w:w="2127"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xml:space="preserve">  其他商品和服务支出</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819,539.13</w:t>
            </w:r>
          </w:p>
        </w:tc>
        <w:tc>
          <w:tcPr>
            <w:tcW w:w="101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2928"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2850"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人员经费合计</w:t>
            </w:r>
          </w:p>
        </w:tc>
        <w:tc>
          <w:tcPr>
            <w:tcW w:w="16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50,748,910.32</w:t>
            </w:r>
          </w:p>
        </w:tc>
        <w:tc>
          <w:tcPr>
            <w:tcW w:w="8795" w:type="dxa"/>
            <w:gridSpan w:val="5"/>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公用经费合计</w:t>
            </w: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7,689,920.38</w:t>
            </w:r>
          </w:p>
        </w:tc>
      </w:tr>
      <w:tr>
        <w:tblPrEx>
          <w:tblCellMar>
            <w:top w:w="0" w:type="dxa"/>
            <w:left w:w="108" w:type="dxa"/>
            <w:bottom w:w="0" w:type="dxa"/>
            <w:right w:w="108" w:type="dxa"/>
          </w:tblCellMar>
        </w:tblPrEx>
        <w:trPr>
          <w:trHeight w:val="308" w:hRule="atLeast"/>
        </w:trPr>
        <w:tc>
          <w:tcPr>
            <w:tcW w:w="14827" w:type="dxa"/>
            <w:gridSpan w:val="9"/>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注：本表反映部门本年度一般公共预算财政拨款基本支出明细情况。</w:t>
            </w:r>
          </w:p>
        </w:tc>
      </w:tr>
    </w:tbl>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tbl>
      <w:tblPr>
        <w:tblStyle w:val="4"/>
        <w:tblW w:w="13423" w:type="dxa"/>
        <w:tblInd w:w="93" w:type="dxa"/>
        <w:tblLayout w:type="autofit"/>
        <w:tblCellMar>
          <w:top w:w="0" w:type="dxa"/>
          <w:left w:w="108" w:type="dxa"/>
          <w:bottom w:w="0" w:type="dxa"/>
          <w:right w:w="108" w:type="dxa"/>
        </w:tblCellMar>
      </w:tblPr>
      <w:tblGrid>
        <w:gridCol w:w="1290"/>
        <w:gridCol w:w="807"/>
        <w:gridCol w:w="1290"/>
        <w:gridCol w:w="1290"/>
        <w:gridCol w:w="1290"/>
        <w:gridCol w:w="1022"/>
        <w:gridCol w:w="1290"/>
        <w:gridCol w:w="807"/>
        <w:gridCol w:w="1290"/>
        <w:gridCol w:w="1290"/>
        <w:gridCol w:w="1290"/>
        <w:gridCol w:w="1125"/>
      </w:tblGrid>
      <w:tr>
        <w:tblPrEx>
          <w:tblCellMar>
            <w:top w:w="0" w:type="dxa"/>
            <w:left w:w="108" w:type="dxa"/>
            <w:bottom w:w="0" w:type="dxa"/>
            <w:right w:w="108" w:type="dxa"/>
          </w:tblCellMar>
        </w:tblPrEx>
        <w:trPr>
          <w:trHeight w:val="540" w:hRule="atLeast"/>
        </w:trPr>
        <w:tc>
          <w:tcPr>
            <w:tcW w:w="13423" w:type="dxa"/>
            <w:gridSpan w:val="12"/>
            <w:tcBorders>
              <w:top w:val="nil"/>
              <w:left w:val="nil"/>
              <w:bottom w:val="nil"/>
              <w:right w:val="nil"/>
            </w:tcBorders>
            <w:shd w:val="clear" w:color="auto" w:fill="auto"/>
            <w:noWrap/>
            <w:vAlign w:val="bottom"/>
          </w:tcPr>
          <w:p>
            <w:pPr>
              <w:widowControl/>
              <w:jc w:val="center"/>
              <w:rPr>
                <w:rFonts w:ascii="宋体" w:hAnsi="宋体" w:cs="Arial"/>
                <w:color w:val="000000"/>
                <w:kern w:val="0"/>
                <w:sz w:val="44"/>
                <w:szCs w:val="44"/>
              </w:rPr>
            </w:pPr>
            <w:r>
              <w:rPr>
                <w:rFonts w:hint="eastAsia" w:ascii="宋体" w:hAnsi="宋体" w:cs="Arial"/>
                <w:color w:val="000000"/>
                <w:kern w:val="0"/>
                <w:sz w:val="44"/>
                <w:szCs w:val="44"/>
              </w:rPr>
              <w:t>一般公共预算财政拨款“三公”经费支出决算表</w:t>
            </w:r>
          </w:p>
        </w:tc>
      </w:tr>
      <w:tr>
        <w:tblPrEx>
          <w:tblCellMar>
            <w:top w:w="0" w:type="dxa"/>
            <w:left w:w="108" w:type="dxa"/>
            <w:bottom w:w="0" w:type="dxa"/>
            <w:right w:w="108" w:type="dxa"/>
          </w:tblCellMar>
        </w:tblPrEx>
        <w:trPr>
          <w:trHeight w:val="255" w:hRule="atLeast"/>
        </w:trPr>
        <w:tc>
          <w:tcPr>
            <w:tcW w:w="4389"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部门：宁夏西吉县公安局（汇总）</w:t>
            </w:r>
          </w:p>
        </w:tc>
        <w:tc>
          <w:tcPr>
            <w:tcW w:w="1239"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93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69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3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3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3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金额单位：元</w:t>
            </w:r>
          </w:p>
        </w:tc>
      </w:tr>
      <w:tr>
        <w:trPr>
          <w:trHeight w:val="308" w:hRule="atLeast"/>
        </w:trPr>
        <w:tc>
          <w:tcPr>
            <w:tcW w:w="6564"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预算数</w:t>
            </w:r>
          </w:p>
        </w:tc>
        <w:tc>
          <w:tcPr>
            <w:tcW w:w="6859" w:type="dxa"/>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决算数</w:t>
            </w:r>
          </w:p>
        </w:tc>
      </w:tr>
      <w:tr>
        <w:tblPrEx>
          <w:tblCellMar>
            <w:top w:w="0" w:type="dxa"/>
            <w:left w:w="108" w:type="dxa"/>
            <w:bottom w:w="0" w:type="dxa"/>
            <w:right w:w="108" w:type="dxa"/>
          </w:tblCellMar>
        </w:tblPrEx>
        <w:trPr>
          <w:trHeight w:val="308" w:hRule="atLeast"/>
        </w:trPr>
        <w:tc>
          <w:tcPr>
            <w:tcW w:w="1230"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合计</w:t>
            </w:r>
          </w:p>
        </w:tc>
        <w:tc>
          <w:tcPr>
            <w:tcW w:w="69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因公出国（境）费</w:t>
            </w:r>
          </w:p>
        </w:tc>
        <w:tc>
          <w:tcPr>
            <w:tcW w:w="3708"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公务用车购置及运行费</w:t>
            </w:r>
          </w:p>
        </w:tc>
        <w:tc>
          <w:tcPr>
            <w:tcW w:w="93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公务接待费</w:t>
            </w:r>
          </w:p>
        </w:tc>
        <w:tc>
          <w:tcPr>
            <w:tcW w:w="123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合计</w:t>
            </w:r>
          </w:p>
        </w:tc>
        <w:tc>
          <w:tcPr>
            <w:tcW w:w="69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因公出国（境）费</w:t>
            </w:r>
          </w:p>
        </w:tc>
        <w:tc>
          <w:tcPr>
            <w:tcW w:w="3709"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公务用车购置及运行费</w:t>
            </w:r>
          </w:p>
        </w:tc>
        <w:tc>
          <w:tcPr>
            <w:tcW w:w="123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1725" w:hRule="atLeast"/>
        </w:trPr>
        <w:tc>
          <w:tcPr>
            <w:tcW w:w="12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69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3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小计</w:t>
            </w:r>
          </w:p>
        </w:tc>
        <w:tc>
          <w:tcPr>
            <w:tcW w:w="123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公务用车购置费</w:t>
            </w:r>
          </w:p>
        </w:tc>
        <w:tc>
          <w:tcPr>
            <w:tcW w:w="123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公务用车运行费</w:t>
            </w:r>
          </w:p>
        </w:tc>
        <w:tc>
          <w:tcPr>
            <w:tcW w:w="9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3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69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小计</w:t>
            </w:r>
          </w:p>
        </w:tc>
        <w:tc>
          <w:tcPr>
            <w:tcW w:w="123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公务用车购置费</w:t>
            </w:r>
          </w:p>
        </w:tc>
        <w:tc>
          <w:tcPr>
            <w:tcW w:w="123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公务用车运行费</w:t>
            </w:r>
          </w:p>
        </w:tc>
        <w:tc>
          <w:tcPr>
            <w:tcW w:w="123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123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w:t>
            </w:r>
          </w:p>
        </w:tc>
        <w:tc>
          <w:tcPr>
            <w:tcW w:w="6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w:t>
            </w:r>
          </w:p>
        </w:tc>
        <w:tc>
          <w:tcPr>
            <w:tcW w:w="123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w:t>
            </w:r>
          </w:p>
        </w:tc>
        <w:tc>
          <w:tcPr>
            <w:tcW w:w="123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w:t>
            </w:r>
          </w:p>
        </w:tc>
        <w:tc>
          <w:tcPr>
            <w:tcW w:w="123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5</w:t>
            </w:r>
          </w:p>
        </w:tc>
        <w:tc>
          <w:tcPr>
            <w:tcW w:w="93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6</w:t>
            </w:r>
          </w:p>
        </w:tc>
        <w:tc>
          <w:tcPr>
            <w:tcW w:w="123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7</w:t>
            </w:r>
          </w:p>
        </w:tc>
        <w:tc>
          <w:tcPr>
            <w:tcW w:w="69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8</w:t>
            </w:r>
          </w:p>
        </w:tc>
        <w:tc>
          <w:tcPr>
            <w:tcW w:w="123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9</w:t>
            </w:r>
          </w:p>
        </w:tc>
        <w:tc>
          <w:tcPr>
            <w:tcW w:w="123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10</w:t>
            </w:r>
          </w:p>
        </w:tc>
        <w:tc>
          <w:tcPr>
            <w:tcW w:w="123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11</w:t>
            </w:r>
          </w:p>
        </w:tc>
        <w:tc>
          <w:tcPr>
            <w:tcW w:w="123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780" w:hRule="atLeast"/>
        </w:trPr>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3,790,000.00</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3,720,000.00</w:t>
            </w:r>
          </w:p>
        </w:tc>
        <w:tc>
          <w:tcPr>
            <w:tcW w:w="12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1,500,000.00</w:t>
            </w:r>
          </w:p>
        </w:tc>
        <w:tc>
          <w:tcPr>
            <w:tcW w:w="123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2,220,000.00</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70,000.00</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2,795,523.60</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12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2,772,701.60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1,282,600.00</w:t>
            </w:r>
          </w:p>
        </w:tc>
        <w:tc>
          <w:tcPr>
            <w:tcW w:w="12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1,490,101.60</w:t>
            </w:r>
          </w:p>
        </w:tc>
        <w:tc>
          <w:tcPr>
            <w:tcW w:w="12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22,822.00</w:t>
            </w:r>
          </w:p>
        </w:tc>
      </w:tr>
      <w:tr>
        <w:tblPrEx>
          <w:tblCellMar>
            <w:top w:w="0" w:type="dxa"/>
            <w:left w:w="108" w:type="dxa"/>
            <w:bottom w:w="0" w:type="dxa"/>
            <w:right w:w="108" w:type="dxa"/>
          </w:tblCellMar>
        </w:tblPrEx>
        <w:trPr>
          <w:trHeight w:val="615" w:hRule="atLeast"/>
        </w:trPr>
        <w:tc>
          <w:tcPr>
            <w:tcW w:w="13423" w:type="dxa"/>
            <w:gridSpan w:val="12"/>
            <w:tcBorders>
              <w:top w:val="nil"/>
              <w:left w:val="nil"/>
              <w:bottom w:val="nil"/>
              <w:right w:val="nil"/>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tbl>
      <w:tblPr>
        <w:tblStyle w:val="4"/>
        <w:tblW w:w="13765" w:type="dxa"/>
        <w:tblInd w:w="93" w:type="dxa"/>
        <w:tblLayout w:type="autofit"/>
        <w:tblCellMar>
          <w:top w:w="0" w:type="dxa"/>
          <w:left w:w="108" w:type="dxa"/>
          <w:bottom w:w="0" w:type="dxa"/>
          <w:right w:w="108" w:type="dxa"/>
        </w:tblCellMar>
      </w:tblPr>
      <w:tblGrid>
        <w:gridCol w:w="222"/>
        <w:gridCol w:w="222"/>
        <w:gridCol w:w="222"/>
        <w:gridCol w:w="1561"/>
        <w:gridCol w:w="2183"/>
        <w:gridCol w:w="1701"/>
        <w:gridCol w:w="412"/>
        <w:gridCol w:w="1147"/>
        <w:gridCol w:w="285"/>
        <w:gridCol w:w="1699"/>
        <w:gridCol w:w="1418"/>
        <w:gridCol w:w="2693"/>
      </w:tblGrid>
      <w:tr>
        <w:tblPrEx>
          <w:tblCellMar>
            <w:top w:w="0" w:type="dxa"/>
            <w:left w:w="108" w:type="dxa"/>
            <w:bottom w:w="0" w:type="dxa"/>
            <w:right w:w="108" w:type="dxa"/>
          </w:tblCellMar>
        </w:tblPrEx>
        <w:trPr>
          <w:trHeight w:val="390" w:hRule="atLeast"/>
        </w:trPr>
        <w:tc>
          <w:tcPr>
            <w:tcW w:w="13765" w:type="dxa"/>
            <w:gridSpan w:val="12"/>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255" w:hRule="atLeast"/>
        </w:trPr>
        <w:tc>
          <w:tcPr>
            <w:tcW w:w="22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561"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183"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701"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1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32"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117"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693"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公开08表</w:t>
            </w:r>
          </w:p>
        </w:tc>
      </w:tr>
      <w:tr>
        <w:trPr>
          <w:trHeight w:val="255" w:hRule="atLeast"/>
        </w:trPr>
        <w:tc>
          <w:tcPr>
            <w:tcW w:w="4410" w:type="dxa"/>
            <w:gridSpan w:val="5"/>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部门：宁夏西吉县公安局（汇总）</w:t>
            </w:r>
          </w:p>
        </w:tc>
        <w:tc>
          <w:tcPr>
            <w:tcW w:w="1701"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1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32"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117"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693"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2227"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项目</w:t>
            </w:r>
          </w:p>
        </w:tc>
        <w:tc>
          <w:tcPr>
            <w:tcW w:w="218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年初结转和结余</w:t>
            </w:r>
          </w:p>
        </w:tc>
        <w:tc>
          <w:tcPr>
            <w:tcW w:w="1701"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本年收入</w:t>
            </w:r>
          </w:p>
        </w:tc>
        <w:tc>
          <w:tcPr>
            <w:tcW w:w="4961" w:type="dxa"/>
            <w:gridSpan w:val="5"/>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本年支出</w:t>
            </w:r>
          </w:p>
        </w:tc>
        <w:tc>
          <w:tcPr>
            <w:tcW w:w="269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trPr>
        <w:tc>
          <w:tcPr>
            <w:tcW w:w="66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功能分类科目编码</w:t>
            </w:r>
          </w:p>
        </w:tc>
        <w:tc>
          <w:tcPr>
            <w:tcW w:w="1561"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科目名称</w:t>
            </w:r>
          </w:p>
        </w:tc>
        <w:tc>
          <w:tcPr>
            <w:tcW w:w="218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小计</w:t>
            </w:r>
          </w:p>
        </w:tc>
        <w:tc>
          <w:tcPr>
            <w:tcW w:w="1984"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基本支出</w:t>
            </w:r>
          </w:p>
        </w:tc>
        <w:tc>
          <w:tcPr>
            <w:tcW w:w="141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项目支出</w:t>
            </w:r>
          </w:p>
        </w:tc>
        <w:tc>
          <w:tcPr>
            <w:tcW w:w="269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66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6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18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98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1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69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66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6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18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5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98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1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69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2227"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栏次</w:t>
            </w:r>
          </w:p>
        </w:tc>
        <w:tc>
          <w:tcPr>
            <w:tcW w:w="218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1</w:t>
            </w:r>
          </w:p>
        </w:tc>
        <w:tc>
          <w:tcPr>
            <w:tcW w:w="170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2</w:t>
            </w:r>
          </w:p>
        </w:tc>
        <w:tc>
          <w:tcPr>
            <w:tcW w:w="1559"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3</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4</w:t>
            </w:r>
          </w:p>
        </w:tc>
        <w:tc>
          <w:tcPr>
            <w:tcW w:w="141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5</w:t>
            </w:r>
          </w:p>
        </w:tc>
        <w:tc>
          <w:tcPr>
            <w:tcW w:w="269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trPr>
        <w:tc>
          <w:tcPr>
            <w:tcW w:w="2227"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szCs w:val="22"/>
              </w:rPr>
              <w:t>合计</w:t>
            </w:r>
          </w:p>
        </w:tc>
        <w:tc>
          <w:tcPr>
            <w:tcW w:w="21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szCs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szCs w:val="22"/>
              </w:rPr>
              <w:t>　</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szCs w:val="22"/>
              </w:rPr>
              <w:t>　</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szCs w:val="22"/>
              </w:rPr>
              <w:t>　</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szCs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szCs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15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21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15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21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15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21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15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21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15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21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66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15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　</w:t>
            </w:r>
          </w:p>
        </w:tc>
        <w:tc>
          <w:tcPr>
            <w:tcW w:w="21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765" w:type="dxa"/>
            <w:gridSpan w:val="12"/>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szCs w:val="22"/>
              </w:rPr>
              <w:t>注：本表反映部门本年度政府性基金预算财政拨款收入、支出及结转和结余情况。</w:t>
            </w:r>
          </w:p>
        </w:tc>
      </w:tr>
    </w:tbl>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pPr>
    </w:p>
    <w:p>
      <w:pPr>
        <w:widowControl/>
        <w:spacing w:line="560" w:lineRule="exac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Times New Roman"/>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jc w:val="left"/>
        <w:rPr>
          <w:rFonts w:ascii="仿宋_GB2312" w:hAnsi="仿宋_GB2312" w:eastAsia="仿宋_GB2312" w:cs="Times New Roman"/>
          <w:kern w:val="0"/>
          <w:sz w:val="32"/>
          <w:szCs w:val="32"/>
        </w:rPr>
      </w:pPr>
    </w:p>
    <w:p>
      <w:pPr>
        <w:spacing w:line="560" w:lineRule="exact"/>
        <w:jc w:val="center"/>
        <w:outlineLvl w:val="1"/>
        <w:rPr>
          <w:rFonts w:ascii="黑体" w:hAnsi="黑体" w:eastAsia="黑体" w:cs="Times New Roman"/>
          <w:kern w:val="0"/>
          <w:sz w:val="44"/>
          <w:szCs w:val="44"/>
        </w:rPr>
      </w:pPr>
      <w:r>
        <w:rPr>
          <w:rFonts w:hint="eastAsia" w:ascii="黑体" w:hAnsi="黑体" w:eastAsia="黑体" w:cs="黑体"/>
          <w:kern w:val="0"/>
          <w:sz w:val="44"/>
          <w:szCs w:val="44"/>
        </w:rPr>
        <w:t>第三部分2019年度部门决算情况说明</w:t>
      </w:r>
    </w:p>
    <w:p>
      <w:pPr>
        <w:spacing w:line="540" w:lineRule="exact"/>
        <w:outlineLvl w:val="1"/>
        <w:rPr>
          <w:rFonts w:ascii="黑体" w:hAnsi="宋体" w:eastAsia="黑体" w:cs="黑体"/>
          <w:kern w:val="0"/>
          <w:sz w:val="32"/>
          <w:szCs w:val="32"/>
        </w:rPr>
      </w:pPr>
    </w:p>
    <w:p>
      <w:pPr>
        <w:spacing w:line="540" w:lineRule="exact"/>
        <w:outlineLvl w:val="1"/>
        <w:rPr>
          <w:rFonts w:ascii="黑体" w:hAnsi="黑体" w:eastAsia="黑体" w:cs="Times New Roman"/>
          <w:kern w:val="0"/>
          <w:sz w:val="32"/>
          <w:szCs w:val="32"/>
        </w:rPr>
      </w:pPr>
      <w:r>
        <w:rPr>
          <w:rFonts w:hint="eastAsia" w:ascii="黑体" w:hAnsi="黑体" w:eastAsia="黑体" w:cs="黑体"/>
          <w:kern w:val="0"/>
          <w:sz w:val="32"/>
          <w:szCs w:val="32"/>
        </w:rPr>
        <w:t xml:space="preserve">    一、收入支出决算总体情况说明</w:t>
      </w:r>
    </w:p>
    <w:p>
      <w:pPr>
        <w:spacing w:line="540" w:lineRule="exact"/>
        <w:ind w:firstLine="537" w:firstLineChars="168"/>
        <w:outlineLvl w:val="1"/>
        <w:rPr>
          <w:rFonts w:ascii="仿宋_GB2312" w:hAnsi="宋体" w:eastAsia="仿宋_GB2312" w:cs="仿宋_GB2312"/>
          <w:kern w:val="0"/>
          <w:sz w:val="32"/>
          <w:szCs w:val="32"/>
        </w:rPr>
      </w:pPr>
      <w:r>
        <w:rPr>
          <w:rFonts w:hint="eastAsia" w:ascii="仿宋_GB2312" w:hAnsi="宋体" w:eastAsia="仿宋_GB2312" w:cs="仿宋_GB2312"/>
          <w:kern w:val="0"/>
          <w:sz w:val="32"/>
          <w:szCs w:val="32"/>
        </w:rPr>
        <w:t>2019年度收入总计</w:t>
      </w:r>
      <w:r>
        <w:rPr>
          <w:rFonts w:ascii="仿宋_GB2312" w:hAnsi="宋体" w:eastAsia="仿宋_GB2312" w:cs="仿宋_GB2312"/>
          <w:kern w:val="0"/>
          <w:sz w:val="32"/>
          <w:szCs w:val="32"/>
        </w:rPr>
        <w:t>135,708,730.83</w:t>
      </w:r>
      <w:r>
        <w:rPr>
          <w:rFonts w:hint="eastAsia" w:ascii="仿宋_GB2312" w:hAnsi="宋体" w:eastAsia="仿宋_GB2312" w:cs="仿宋_GB2312"/>
          <w:kern w:val="0"/>
          <w:sz w:val="32"/>
          <w:szCs w:val="32"/>
        </w:rPr>
        <w:t>元，支出总计</w:t>
      </w:r>
      <w:r>
        <w:rPr>
          <w:rFonts w:ascii="仿宋_GB2312" w:hAnsi="宋体" w:eastAsia="仿宋_GB2312" w:cs="仿宋_GB2312"/>
          <w:kern w:val="0"/>
          <w:sz w:val="32"/>
          <w:szCs w:val="32"/>
        </w:rPr>
        <w:t>133,468,399.79</w:t>
      </w:r>
      <w:r>
        <w:rPr>
          <w:rFonts w:hint="eastAsia" w:ascii="仿宋_GB2312" w:hAnsi="宋体" w:eastAsia="仿宋_GB2312" w:cs="仿宋_GB2312"/>
          <w:kern w:val="0"/>
          <w:sz w:val="32"/>
          <w:szCs w:val="32"/>
        </w:rPr>
        <w:t>元。与上年相比，收入总计增加</w:t>
      </w:r>
      <w:r>
        <w:rPr>
          <w:rFonts w:ascii="仿宋_GB2312" w:hAnsi="宋体" w:eastAsia="仿宋_GB2312" w:cs="仿宋_GB2312"/>
          <w:kern w:val="0"/>
          <w:sz w:val="32"/>
          <w:szCs w:val="32"/>
        </w:rPr>
        <w:t>20,381,496.18</w:t>
      </w:r>
      <w:r>
        <w:rPr>
          <w:rFonts w:hint="eastAsia" w:ascii="仿宋_GB2312" w:hAnsi="宋体" w:eastAsia="仿宋_GB2312" w:cs="仿宋_GB2312"/>
          <w:kern w:val="0"/>
          <w:sz w:val="32"/>
          <w:szCs w:val="32"/>
        </w:rPr>
        <w:t>元，增长17.67</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，主要原因是资金项目增加。支出总计增加</w:t>
      </w:r>
      <w:r>
        <w:rPr>
          <w:rFonts w:ascii="仿宋_GB2312" w:hAnsi="宋体" w:eastAsia="仿宋_GB2312" w:cs="仿宋_GB2312"/>
          <w:kern w:val="0"/>
          <w:sz w:val="32"/>
          <w:szCs w:val="32"/>
        </w:rPr>
        <w:t>16,754,517.19</w:t>
      </w:r>
      <w:r>
        <w:rPr>
          <w:rFonts w:hint="eastAsia" w:ascii="仿宋_GB2312" w:hAnsi="宋体" w:eastAsia="仿宋_GB2312" w:cs="仿宋_GB2312"/>
          <w:kern w:val="0"/>
          <w:sz w:val="32"/>
          <w:szCs w:val="32"/>
        </w:rPr>
        <w:t>元，增长14.35</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，主要原因是追加项目资金支出增加。</w:t>
      </w:r>
    </w:p>
    <w:p>
      <w:pPr>
        <w:spacing w:line="540" w:lineRule="exact"/>
        <w:outlineLvl w:val="1"/>
        <w:rPr>
          <w:rFonts w:ascii="黑体" w:hAnsi="黑体" w:eastAsia="黑体" w:cs="Times New Roman"/>
          <w:kern w:val="0"/>
          <w:sz w:val="32"/>
          <w:szCs w:val="32"/>
        </w:rPr>
      </w:pPr>
      <w:r>
        <w:rPr>
          <w:rFonts w:hint="eastAsia" w:ascii="黑体" w:hAnsi="黑体" w:eastAsia="黑体" w:cs="黑体"/>
          <w:kern w:val="0"/>
          <w:sz w:val="32"/>
          <w:szCs w:val="32"/>
        </w:rPr>
        <w:t xml:space="preserve">    二、收入决算情况说明</w:t>
      </w:r>
    </w:p>
    <w:p>
      <w:pPr>
        <w:spacing w:line="540" w:lineRule="exact"/>
        <w:ind w:firstLine="537" w:firstLineChars="168"/>
        <w:outlineLvl w:val="1"/>
        <w:rPr>
          <w:rFonts w:ascii="仿宋_GB2312" w:hAnsi="宋体" w:eastAsia="仿宋_GB2312" w:cs="Times New Roman"/>
          <w:sz w:val="32"/>
          <w:szCs w:val="32"/>
        </w:rPr>
      </w:pPr>
      <w:r>
        <w:rPr>
          <w:rFonts w:hint="eastAsia" w:ascii="仿宋_GB2312" w:hAnsi="宋体" w:eastAsia="仿宋_GB2312" w:cs="仿宋_GB2312"/>
          <w:kern w:val="0"/>
          <w:sz w:val="32"/>
          <w:szCs w:val="32"/>
        </w:rPr>
        <w:t>2019年度</w:t>
      </w:r>
      <w:r>
        <w:rPr>
          <w:rFonts w:hint="eastAsia" w:ascii="仿宋_GB2312" w:hAnsi="宋体" w:eastAsia="仿宋_GB2312" w:cs="仿宋_GB2312"/>
          <w:sz w:val="32"/>
          <w:szCs w:val="32"/>
        </w:rPr>
        <w:t>收入合计</w:t>
      </w:r>
      <w:r>
        <w:rPr>
          <w:rFonts w:ascii="仿宋_GB2312" w:hAnsi="宋体" w:eastAsia="仿宋_GB2312" w:cs="仿宋_GB2312"/>
          <w:kern w:val="0"/>
          <w:sz w:val="32"/>
          <w:szCs w:val="32"/>
        </w:rPr>
        <w:t>135,708,730.83</w:t>
      </w:r>
      <w:r>
        <w:rPr>
          <w:rFonts w:hint="eastAsia" w:ascii="仿宋_GB2312" w:hAnsi="宋体" w:eastAsia="仿宋_GB2312" w:cs="仿宋_GB2312"/>
          <w:sz w:val="32"/>
          <w:szCs w:val="32"/>
        </w:rPr>
        <w:t>元，其中：财政拨款收入</w:t>
      </w:r>
      <w:r>
        <w:rPr>
          <w:rFonts w:ascii="仿宋_GB2312" w:hAnsi="宋体" w:eastAsia="仿宋_GB2312" w:cs="仿宋_GB2312"/>
          <w:sz w:val="32"/>
          <w:szCs w:val="32"/>
        </w:rPr>
        <w:t>116,584,375.86</w:t>
      </w:r>
      <w:r>
        <w:rPr>
          <w:rFonts w:hint="eastAsia" w:ascii="仿宋_GB2312" w:hAnsi="宋体" w:eastAsia="仿宋_GB2312" w:cs="仿宋_GB2312"/>
          <w:sz w:val="32"/>
          <w:szCs w:val="32"/>
        </w:rPr>
        <w:t>元，占85.9</w:t>
      </w:r>
      <w:r>
        <w:rPr>
          <w:rFonts w:ascii="仿宋_GB2312" w:hAnsi="宋体" w:eastAsia="仿宋_GB2312" w:cs="仿宋_GB2312"/>
          <w:sz w:val="32"/>
          <w:szCs w:val="32"/>
        </w:rPr>
        <w:t>%</w:t>
      </w:r>
      <w:r>
        <w:rPr>
          <w:rFonts w:hint="eastAsia" w:ascii="仿宋_GB2312" w:hAnsi="宋体" w:eastAsia="仿宋_GB2312" w:cs="仿宋_GB2312"/>
          <w:sz w:val="32"/>
          <w:szCs w:val="32"/>
        </w:rPr>
        <w:t>；上级补助收入0元，占0</w:t>
      </w:r>
      <w:r>
        <w:rPr>
          <w:rFonts w:ascii="仿宋_GB2312" w:hAnsi="宋体" w:eastAsia="仿宋_GB2312" w:cs="仿宋_GB2312"/>
          <w:sz w:val="32"/>
          <w:szCs w:val="32"/>
        </w:rPr>
        <w:t>%</w:t>
      </w:r>
      <w:r>
        <w:rPr>
          <w:rFonts w:hint="eastAsia" w:ascii="仿宋_GB2312" w:hAnsi="宋体" w:eastAsia="仿宋_GB2312" w:cs="仿宋_GB2312"/>
          <w:sz w:val="32"/>
          <w:szCs w:val="32"/>
        </w:rPr>
        <w:t>；事业收入0元，占0</w:t>
      </w:r>
      <w:r>
        <w:rPr>
          <w:rFonts w:ascii="仿宋_GB2312" w:hAnsi="宋体" w:eastAsia="仿宋_GB2312" w:cs="仿宋_GB2312"/>
          <w:sz w:val="32"/>
          <w:szCs w:val="32"/>
        </w:rPr>
        <w:t>%</w:t>
      </w:r>
      <w:r>
        <w:rPr>
          <w:rFonts w:hint="eastAsia" w:ascii="仿宋_GB2312" w:hAnsi="宋体" w:eastAsia="仿宋_GB2312" w:cs="仿宋_GB2312"/>
          <w:sz w:val="32"/>
          <w:szCs w:val="32"/>
        </w:rPr>
        <w:t>；经营收入0元，占0</w:t>
      </w:r>
      <w:r>
        <w:rPr>
          <w:rFonts w:ascii="仿宋_GB2312" w:hAnsi="宋体" w:eastAsia="仿宋_GB2312" w:cs="仿宋_GB2312"/>
          <w:sz w:val="32"/>
          <w:szCs w:val="32"/>
        </w:rPr>
        <w:t>%</w:t>
      </w:r>
      <w:r>
        <w:rPr>
          <w:rFonts w:hint="eastAsia" w:ascii="仿宋_GB2312" w:hAnsi="宋体" w:eastAsia="仿宋_GB2312" w:cs="仿宋_GB2312"/>
          <w:sz w:val="32"/>
          <w:szCs w:val="32"/>
        </w:rPr>
        <w:t>；附属单位上缴收入0元，占0</w:t>
      </w:r>
      <w:r>
        <w:rPr>
          <w:rFonts w:ascii="仿宋_GB2312" w:hAnsi="宋体" w:eastAsia="仿宋_GB2312" w:cs="仿宋_GB2312"/>
          <w:sz w:val="32"/>
          <w:szCs w:val="32"/>
        </w:rPr>
        <w:t>%</w:t>
      </w:r>
      <w:r>
        <w:rPr>
          <w:rFonts w:hint="eastAsia" w:ascii="仿宋_GB2312" w:hAnsi="宋体" w:eastAsia="仿宋_GB2312" w:cs="仿宋_GB2312"/>
          <w:sz w:val="32"/>
          <w:szCs w:val="32"/>
        </w:rPr>
        <w:t>；其他收入</w:t>
      </w:r>
      <w:r>
        <w:rPr>
          <w:rFonts w:ascii="仿宋_GB2312" w:hAnsi="宋体" w:eastAsia="仿宋_GB2312" w:cs="仿宋_GB2312"/>
          <w:sz w:val="32"/>
          <w:szCs w:val="32"/>
        </w:rPr>
        <w:t>19,124,354.97</w:t>
      </w:r>
      <w:r>
        <w:rPr>
          <w:rFonts w:hint="eastAsia" w:ascii="仿宋_GB2312" w:hAnsi="宋体" w:eastAsia="仿宋_GB2312" w:cs="仿宋_GB2312"/>
          <w:sz w:val="32"/>
          <w:szCs w:val="32"/>
        </w:rPr>
        <w:t>元，占14.09</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spacing w:line="540" w:lineRule="exact"/>
        <w:ind w:firstLine="640" w:firstLineChars="200"/>
        <w:outlineLvl w:val="1"/>
        <w:rPr>
          <w:rFonts w:ascii="黑体" w:hAnsi="黑体" w:eastAsia="黑体" w:cs="Times New Roman"/>
          <w:kern w:val="0"/>
          <w:sz w:val="32"/>
          <w:szCs w:val="32"/>
        </w:rPr>
      </w:pPr>
      <w:r>
        <w:rPr>
          <w:rFonts w:hint="eastAsia" w:ascii="黑体" w:hAnsi="黑体" w:eastAsia="黑体" w:cs="黑体"/>
          <w:kern w:val="0"/>
          <w:sz w:val="32"/>
          <w:szCs w:val="32"/>
        </w:rPr>
        <w:t>三、支出决算情况说明</w:t>
      </w:r>
    </w:p>
    <w:p>
      <w:pPr>
        <w:spacing w:line="540" w:lineRule="exact"/>
        <w:ind w:firstLine="614" w:firstLineChars="192"/>
        <w:outlineLvl w:val="1"/>
        <w:rPr>
          <w:rFonts w:ascii="黑体" w:hAnsi="黑体" w:eastAsia="黑体" w:cs="Times New Roman"/>
          <w:kern w:val="0"/>
          <w:sz w:val="32"/>
          <w:szCs w:val="32"/>
        </w:rPr>
      </w:pPr>
      <w:r>
        <w:rPr>
          <w:rFonts w:hint="eastAsia" w:ascii="仿宋_GB2312" w:hAnsi="宋体" w:eastAsia="仿宋_GB2312" w:cs="仿宋_GB2312"/>
          <w:kern w:val="0"/>
          <w:sz w:val="32"/>
          <w:szCs w:val="32"/>
        </w:rPr>
        <w:t>2019年度支出合计</w:t>
      </w:r>
      <w:r>
        <w:rPr>
          <w:rFonts w:ascii="仿宋_GB2312" w:hAnsi="宋体" w:eastAsia="仿宋_GB2312" w:cs="仿宋_GB2312"/>
          <w:kern w:val="0"/>
          <w:sz w:val="32"/>
          <w:szCs w:val="32"/>
        </w:rPr>
        <w:t>133,468,399.79</w:t>
      </w:r>
      <w:r>
        <w:rPr>
          <w:rFonts w:hint="eastAsia" w:ascii="仿宋_GB2312" w:hAnsi="宋体" w:eastAsia="仿宋_GB2312" w:cs="仿宋_GB2312"/>
          <w:kern w:val="0"/>
          <w:sz w:val="32"/>
          <w:szCs w:val="32"/>
        </w:rPr>
        <w:t>元，其中：基本支出</w:t>
      </w:r>
      <w:r>
        <w:rPr>
          <w:rFonts w:ascii="仿宋_GB2312" w:hAnsi="宋体" w:eastAsia="仿宋_GB2312" w:cs="仿宋_GB2312"/>
          <w:kern w:val="0"/>
          <w:sz w:val="32"/>
          <w:szCs w:val="32"/>
        </w:rPr>
        <w:t>58,815,300.88</w:t>
      </w:r>
      <w:r>
        <w:rPr>
          <w:rFonts w:hint="eastAsia" w:ascii="仿宋_GB2312" w:hAnsi="宋体" w:eastAsia="仿宋_GB2312" w:cs="仿宋_GB2312"/>
          <w:kern w:val="0"/>
          <w:sz w:val="32"/>
          <w:szCs w:val="32"/>
        </w:rPr>
        <w:t>元，占44.06</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；项目支出</w:t>
      </w:r>
      <w:r>
        <w:rPr>
          <w:rFonts w:ascii="仿宋_GB2312" w:hAnsi="宋体" w:eastAsia="仿宋_GB2312" w:cs="仿宋_GB2312"/>
          <w:kern w:val="0"/>
          <w:sz w:val="32"/>
          <w:szCs w:val="32"/>
        </w:rPr>
        <w:t>74,653,098.91</w:t>
      </w:r>
      <w:r>
        <w:rPr>
          <w:rFonts w:hint="eastAsia" w:ascii="仿宋_GB2312" w:hAnsi="宋体" w:eastAsia="仿宋_GB2312" w:cs="仿宋_GB2312"/>
          <w:kern w:val="0"/>
          <w:sz w:val="32"/>
          <w:szCs w:val="32"/>
        </w:rPr>
        <w:t>元，占55.93</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；上缴上级支出0元，占0</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；经营支出0元，占0</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；对附属单位补助支出0元，占0</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w:t>
      </w:r>
    </w:p>
    <w:p>
      <w:pPr>
        <w:spacing w:line="540" w:lineRule="exact"/>
        <w:outlineLvl w:val="1"/>
        <w:rPr>
          <w:rFonts w:ascii="黑体" w:hAnsi="黑体" w:eastAsia="黑体" w:cs="Times New Roman"/>
          <w:kern w:val="0"/>
          <w:sz w:val="32"/>
          <w:szCs w:val="32"/>
        </w:rPr>
      </w:pPr>
      <w:r>
        <w:rPr>
          <w:rFonts w:hint="eastAsia" w:ascii="黑体" w:hAnsi="黑体" w:eastAsia="黑体" w:cs="黑体"/>
          <w:kern w:val="0"/>
          <w:sz w:val="32"/>
          <w:szCs w:val="32"/>
        </w:rPr>
        <w:t xml:space="preserve">    四、财政拨款收入支出决算总体情况说明</w:t>
      </w:r>
    </w:p>
    <w:p>
      <w:pPr>
        <w:spacing w:line="540" w:lineRule="exact"/>
        <w:ind w:firstLine="640"/>
        <w:outlineLvl w:val="1"/>
        <w:rPr>
          <w:rFonts w:ascii="仿宋_GB2312" w:hAnsi="宋体" w:eastAsia="仿宋_GB2312" w:cs="仿宋_GB2312"/>
          <w:kern w:val="0"/>
          <w:sz w:val="32"/>
          <w:szCs w:val="32"/>
        </w:rPr>
      </w:pPr>
      <w:r>
        <w:rPr>
          <w:rFonts w:hint="eastAsia" w:ascii="仿宋_GB2312" w:hAnsi="宋体" w:eastAsia="仿宋_GB2312" w:cs="仿宋_GB2312"/>
          <w:kern w:val="0"/>
          <w:sz w:val="32"/>
          <w:szCs w:val="32"/>
        </w:rPr>
        <w:t>2019年度财政拨款收入总计</w:t>
      </w:r>
      <w:r>
        <w:rPr>
          <w:rFonts w:ascii="仿宋_GB2312" w:hAnsi="宋体" w:eastAsia="仿宋_GB2312" w:cs="仿宋_GB2312"/>
          <w:sz w:val="32"/>
          <w:szCs w:val="32"/>
        </w:rPr>
        <w:t>116,584,375.86</w:t>
      </w:r>
      <w:r>
        <w:rPr>
          <w:rFonts w:hint="eastAsia" w:ascii="仿宋_GB2312" w:hAnsi="宋体" w:eastAsia="仿宋_GB2312" w:cs="仿宋_GB2312"/>
          <w:kern w:val="0"/>
          <w:sz w:val="32"/>
          <w:szCs w:val="32"/>
        </w:rPr>
        <w:t>元，支出总计</w:t>
      </w:r>
      <w:r>
        <w:rPr>
          <w:rFonts w:ascii="仿宋_GB2312" w:hAnsi="宋体" w:eastAsia="仿宋_GB2312" w:cs="仿宋_GB2312"/>
          <w:kern w:val="0"/>
          <w:sz w:val="32"/>
          <w:szCs w:val="32"/>
        </w:rPr>
        <w:t>114,198,643.66</w:t>
      </w:r>
      <w:r>
        <w:rPr>
          <w:rFonts w:hint="eastAsia" w:ascii="仿宋_GB2312" w:hAnsi="宋体" w:eastAsia="仿宋_GB2312" w:cs="仿宋_GB2312"/>
          <w:kern w:val="0"/>
          <w:sz w:val="32"/>
          <w:szCs w:val="32"/>
        </w:rPr>
        <w:t>元。与上年相比，财政拨款收入总计增加</w:t>
      </w:r>
      <w:r>
        <w:rPr>
          <w:rFonts w:ascii="仿宋_GB2312" w:hAnsi="宋体" w:eastAsia="仿宋_GB2312" w:cs="仿宋_GB2312"/>
          <w:kern w:val="0"/>
          <w:sz w:val="32"/>
          <w:szCs w:val="32"/>
        </w:rPr>
        <w:t>17,801,154.86</w:t>
      </w:r>
      <w:r>
        <w:rPr>
          <w:rFonts w:hint="eastAsia" w:ascii="仿宋_GB2312" w:hAnsi="宋体" w:eastAsia="仿宋_GB2312" w:cs="仿宋_GB2312"/>
          <w:kern w:val="0"/>
          <w:sz w:val="32"/>
          <w:szCs w:val="32"/>
        </w:rPr>
        <w:t>元，增长18.02</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，主要原因是本年项目资金增加。财政拨款支出总计增加</w:t>
      </w:r>
      <w:r>
        <w:rPr>
          <w:rFonts w:ascii="仿宋_GB2312" w:hAnsi="宋体" w:eastAsia="仿宋_GB2312" w:cs="仿宋_GB2312"/>
          <w:kern w:val="0"/>
          <w:sz w:val="32"/>
          <w:szCs w:val="32"/>
        </w:rPr>
        <w:t>12,644,113.71</w:t>
      </w:r>
      <w:r>
        <w:rPr>
          <w:rFonts w:hint="eastAsia" w:ascii="仿宋_GB2312" w:hAnsi="宋体" w:eastAsia="仿宋_GB2312" w:cs="仿宋_GB2312"/>
          <w:kern w:val="0"/>
          <w:sz w:val="32"/>
          <w:szCs w:val="32"/>
        </w:rPr>
        <w:t>元，增长12.45</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，主要原因是项目资金支出增加。</w:t>
      </w:r>
    </w:p>
    <w:p>
      <w:pPr>
        <w:spacing w:line="540" w:lineRule="exact"/>
        <w:outlineLvl w:val="1"/>
        <w:rPr>
          <w:rFonts w:ascii="黑体" w:hAnsi="黑体" w:eastAsia="黑体" w:cs="Times New Roman"/>
          <w:kern w:val="0"/>
          <w:sz w:val="32"/>
          <w:szCs w:val="32"/>
        </w:rPr>
      </w:pPr>
      <w:r>
        <w:rPr>
          <w:rFonts w:hint="eastAsia" w:ascii="黑体" w:hAnsi="黑体" w:eastAsia="黑体" w:cs="黑体"/>
          <w:kern w:val="0"/>
          <w:sz w:val="32"/>
          <w:szCs w:val="32"/>
        </w:rPr>
        <w:t xml:space="preserve">    五、一般公共预算财政拨款支出决算情况说明</w:t>
      </w:r>
    </w:p>
    <w:p>
      <w:pPr>
        <w:numPr>
          <w:ilvl w:val="0"/>
          <w:numId w:val="1"/>
        </w:numPr>
        <w:spacing w:line="540" w:lineRule="exact"/>
        <w:ind w:firstLine="643" w:firstLineChars="200"/>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一般公共预算财政拨款支出决算总体情况。</w:t>
      </w:r>
    </w:p>
    <w:p>
      <w:pPr>
        <w:spacing w:line="540" w:lineRule="exact"/>
        <w:ind w:firstLine="640"/>
        <w:outlineLvl w:val="1"/>
        <w:rPr>
          <w:rFonts w:ascii="仿宋_GB2312" w:hAnsi="宋体" w:eastAsia="仿宋_GB2312" w:cs="Times New Roman"/>
          <w:kern w:val="0"/>
          <w:sz w:val="32"/>
          <w:szCs w:val="32"/>
        </w:rPr>
      </w:pPr>
      <w:r>
        <w:rPr>
          <w:rFonts w:hint="eastAsia" w:ascii="仿宋_GB2312" w:hAnsi="仿宋_GB2312" w:eastAsia="仿宋_GB2312" w:cs="仿宋_GB2312"/>
          <w:kern w:val="0"/>
          <w:sz w:val="32"/>
          <w:szCs w:val="32"/>
        </w:rPr>
        <w:t>2019年度一般公共预算财政拨款支出</w:t>
      </w:r>
      <w:r>
        <w:rPr>
          <w:rFonts w:ascii="仿宋_GB2312" w:hAnsi="宋体" w:eastAsia="仿宋_GB2312" w:cs="仿宋_GB2312"/>
          <w:kern w:val="0"/>
          <w:sz w:val="32"/>
          <w:szCs w:val="32"/>
        </w:rPr>
        <w:t>114,198,643.66</w:t>
      </w:r>
      <w:r>
        <w:rPr>
          <w:rFonts w:hint="eastAsia" w:ascii="仿宋_GB2312" w:hAnsi="仿宋_GB2312" w:eastAsia="仿宋_GB2312" w:cs="仿宋_GB2312"/>
          <w:kern w:val="0"/>
          <w:sz w:val="32"/>
          <w:szCs w:val="32"/>
        </w:rPr>
        <w:t>元，占本年支出合计的85.56</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。与</w:t>
      </w:r>
      <w:r>
        <w:rPr>
          <w:rFonts w:hint="eastAsia" w:ascii="仿宋_GB2312" w:hAnsi="宋体" w:eastAsia="仿宋_GB2312" w:cs="仿宋_GB2312"/>
          <w:kern w:val="0"/>
          <w:sz w:val="32"/>
          <w:szCs w:val="32"/>
        </w:rPr>
        <w:t>上</w:t>
      </w:r>
      <w:r>
        <w:rPr>
          <w:rFonts w:hint="eastAsia" w:ascii="仿宋_GB2312" w:hAnsi="仿宋_GB2312" w:eastAsia="仿宋_GB2312" w:cs="仿宋_GB2312"/>
          <w:kern w:val="0"/>
          <w:sz w:val="32"/>
          <w:szCs w:val="32"/>
        </w:rPr>
        <w:t>年相比，一般公共预算财政拨款支出增加</w:t>
      </w:r>
      <w:r>
        <w:rPr>
          <w:rFonts w:ascii="仿宋_GB2312" w:hAnsi="宋体" w:eastAsia="仿宋_GB2312" w:cs="仿宋_GB2312"/>
          <w:kern w:val="0"/>
          <w:sz w:val="32"/>
          <w:szCs w:val="32"/>
        </w:rPr>
        <w:t>12,644,113.71</w:t>
      </w:r>
      <w:r>
        <w:rPr>
          <w:rFonts w:hint="eastAsia" w:ascii="仿宋_GB2312" w:hAnsi="宋体" w:eastAsia="仿宋_GB2312" w:cs="仿宋_GB2312"/>
          <w:kern w:val="0"/>
          <w:sz w:val="32"/>
          <w:szCs w:val="32"/>
        </w:rPr>
        <w:t>元，增长12.45</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，主要原因是项目资金支出增加。</w:t>
      </w:r>
    </w:p>
    <w:p>
      <w:pPr>
        <w:numPr>
          <w:ilvl w:val="0"/>
          <w:numId w:val="1"/>
        </w:numPr>
        <w:spacing w:line="540" w:lineRule="exact"/>
        <w:ind w:firstLine="643" w:firstLineChars="200"/>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一般公共预算财政拨款支出决算结构情况。</w:t>
      </w:r>
    </w:p>
    <w:p>
      <w:pPr>
        <w:spacing w:line="540" w:lineRule="exact"/>
        <w:ind w:firstLine="640" w:firstLineChars="200"/>
        <w:rPr>
          <w:rFonts w:ascii="仿宋_GB2312" w:hAnsi="仿宋_GB2312" w:eastAsia="仿宋_GB2312" w:cs="Times New Roman"/>
          <w:b/>
          <w:bCs/>
          <w:kern w:val="0"/>
          <w:sz w:val="32"/>
          <w:szCs w:val="32"/>
        </w:rPr>
      </w:pPr>
      <w:r>
        <w:rPr>
          <w:rFonts w:hint="eastAsia" w:ascii="仿宋_GB2312" w:hAnsi="仿宋_GB2312" w:eastAsia="仿宋_GB2312" w:cs="仿宋_GB2312"/>
          <w:kern w:val="0"/>
          <w:sz w:val="32"/>
          <w:szCs w:val="32"/>
        </w:rPr>
        <w:t>2019年度一般公共预算财政拨款支出</w:t>
      </w:r>
      <w:r>
        <w:rPr>
          <w:rFonts w:ascii="仿宋_GB2312" w:hAnsi="宋体" w:eastAsia="仿宋_GB2312" w:cs="仿宋_GB2312"/>
          <w:kern w:val="0"/>
          <w:sz w:val="32"/>
          <w:szCs w:val="32"/>
        </w:rPr>
        <w:t>114,198,643.66</w:t>
      </w:r>
      <w:r>
        <w:rPr>
          <w:rFonts w:hint="eastAsia" w:ascii="仿宋_GB2312" w:hAnsi="仿宋_GB2312" w:eastAsia="仿宋_GB2312" w:cs="仿宋_GB2312"/>
          <w:kern w:val="0"/>
          <w:sz w:val="32"/>
          <w:szCs w:val="32"/>
        </w:rPr>
        <w:t>元，主要用于以下方面：公共安全类支出</w:t>
      </w:r>
      <w:r>
        <w:rPr>
          <w:rFonts w:ascii="仿宋_GB2312" w:hAnsi="仿宋_GB2312" w:eastAsia="仿宋_GB2312" w:cs="仿宋_GB2312"/>
          <w:kern w:val="0"/>
          <w:sz w:val="32"/>
          <w:szCs w:val="32"/>
        </w:rPr>
        <w:t>105,879,961.80</w:t>
      </w:r>
      <w:r>
        <w:rPr>
          <w:rFonts w:hint="eastAsia" w:ascii="仿宋_GB2312" w:hAnsi="仿宋_GB2312" w:eastAsia="仿宋_GB2312" w:cs="仿宋_GB2312"/>
          <w:kern w:val="0"/>
          <w:sz w:val="32"/>
          <w:szCs w:val="32"/>
        </w:rPr>
        <w:t>元，占92.71%，社会保障和就业（类）支出</w:t>
      </w:r>
      <w:r>
        <w:rPr>
          <w:rFonts w:ascii="仿宋_GB2312" w:hAnsi="仿宋_GB2312" w:eastAsia="仿宋_GB2312" w:cs="仿宋_GB2312"/>
          <w:kern w:val="0"/>
          <w:sz w:val="32"/>
          <w:szCs w:val="32"/>
        </w:rPr>
        <w:t>4,622,963.00</w:t>
      </w:r>
      <w:r>
        <w:rPr>
          <w:rFonts w:hint="eastAsia" w:ascii="仿宋_GB2312" w:hAnsi="仿宋_GB2312" w:eastAsia="仿宋_GB2312" w:cs="仿宋_GB2312"/>
          <w:kern w:val="0"/>
          <w:sz w:val="32"/>
          <w:szCs w:val="32"/>
        </w:rPr>
        <w:t>元，占4.04</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；卫生健康支出</w:t>
      </w:r>
      <w:r>
        <w:rPr>
          <w:rFonts w:ascii="仿宋_GB2312" w:hAnsi="仿宋_GB2312" w:eastAsia="仿宋_GB2312" w:cs="仿宋_GB2312"/>
          <w:kern w:val="0"/>
          <w:sz w:val="32"/>
          <w:szCs w:val="32"/>
        </w:rPr>
        <w:t>2,675,718.86</w:t>
      </w:r>
      <w:r>
        <w:rPr>
          <w:rFonts w:hint="eastAsia" w:ascii="仿宋_GB2312" w:hAnsi="仿宋_GB2312" w:eastAsia="仿宋_GB2312" w:cs="仿宋_GB2312"/>
          <w:kern w:val="0"/>
          <w:sz w:val="32"/>
          <w:szCs w:val="32"/>
        </w:rPr>
        <w:t>元，占2.33%，节能环保支出</w:t>
      </w:r>
      <w:r>
        <w:rPr>
          <w:rFonts w:ascii="仿宋_GB2312" w:hAnsi="仿宋_GB2312" w:eastAsia="仿宋_GB2312" w:cs="仿宋_GB2312"/>
          <w:kern w:val="0"/>
          <w:sz w:val="32"/>
          <w:szCs w:val="32"/>
        </w:rPr>
        <w:t>100,000.00</w:t>
      </w:r>
      <w:r>
        <w:rPr>
          <w:rFonts w:hint="eastAsia" w:ascii="仿宋_GB2312" w:hAnsi="仿宋_GB2312" w:eastAsia="仿宋_GB2312" w:cs="仿宋_GB2312"/>
          <w:kern w:val="0"/>
          <w:sz w:val="32"/>
          <w:szCs w:val="32"/>
        </w:rPr>
        <w:t>元，占0.08%，住房保障（类）支出</w:t>
      </w:r>
      <w:r>
        <w:rPr>
          <w:rFonts w:ascii="仿宋_GB2312" w:hAnsi="仿宋_GB2312" w:eastAsia="仿宋_GB2312" w:cs="仿宋_GB2312"/>
          <w:kern w:val="0"/>
          <w:sz w:val="32"/>
          <w:szCs w:val="32"/>
        </w:rPr>
        <w:t>920,000.00</w:t>
      </w:r>
      <w:r>
        <w:rPr>
          <w:rFonts w:hint="eastAsia" w:ascii="仿宋_GB2312" w:hAnsi="仿宋_GB2312" w:eastAsia="仿宋_GB2312" w:cs="仿宋_GB2312"/>
          <w:kern w:val="0"/>
          <w:sz w:val="32"/>
          <w:szCs w:val="32"/>
        </w:rPr>
        <w:t>元，占0.8</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p>
    <w:p>
      <w:pPr>
        <w:spacing w:line="540" w:lineRule="exact"/>
        <w:ind w:firstLine="614" w:firstLineChars="19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（三）一般公共预算财政拨款支出决算具体情况。</w:t>
      </w:r>
    </w:p>
    <w:p>
      <w:pPr>
        <w:spacing w:line="540" w:lineRule="exact"/>
        <w:ind w:firstLine="611" w:firstLineChars="191"/>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2019年度一般公共预算财政拨款支出年初预算为</w:t>
      </w:r>
      <w:r>
        <w:rPr>
          <w:rFonts w:ascii="仿宋_GB2312" w:hAnsi="仿宋_GB2312" w:eastAsia="仿宋_GB2312" w:cs="仿宋_GB2312"/>
          <w:kern w:val="0"/>
          <w:sz w:val="32"/>
          <w:szCs w:val="32"/>
        </w:rPr>
        <w:t>94,441,837.00</w:t>
      </w:r>
      <w:r>
        <w:rPr>
          <w:rFonts w:hint="eastAsia" w:ascii="仿宋_GB2312" w:hAnsi="仿宋_GB2312" w:eastAsia="仿宋_GB2312" w:cs="仿宋_GB2312"/>
          <w:kern w:val="0"/>
          <w:sz w:val="32"/>
          <w:szCs w:val="32"/>
        </w:rPr>
        <w:t>元，支出决算为</w:t>
      </w:r>
      <w:r>
        <w:rPr>
          <w:rFonts w:ascii="仿宋_GB2312" w:hAnsi="仿宋_GB2312" w:eastAsia="仿宋_GB2312" w:cs="仿宋_GB2312"/>
          <w:kern w:val="0"/>
          <w:sz w:val="32"/>
          <w:szCs w:val="32"/>
        </w:rPr>
        <w:t>114,198,643.66</w:t>
      </w:r>
      <w:r>
        <w:rPr>
          <w:rFonts w:hint="eastAsia" w:ascii="仿宋_GB2312" w:hAnsi="仿宋_GB2312" w:eastAsia="仿宋_GB2312" w:cs="仿宋_GB2312"/>
          <w:kern w:val="0"/>
          <w:sz w:val="32"/>
          <w:szCs w:val="32"/>
        </w:rPr>
        <w:t>元，完成年初预算的120.9</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w:t>
      </w:r>
    </w:p>
    <w:p>
      <w:pPr>
        <w:numPr>
          <w:ilvl w:val="0"/>
          <w:numId w:val="2"/>
        </w:numPr>
        <w:spacing w:line="540" w:lineRule="exact"/>
        <w:ind w:firstLine="614" w:firstLineChars="191"/>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行政运行。</w:t>
      </w:r>
      <w:r>
        <w:rPr>
          <w:rFonts w:hint="eastAsia" w:ascii="仿宋_GB2312" w:hAnsi="仿宋_GB2312" w:eastAsia="仿宋_GB2312" w:cs="仿宋_GB2312"/>
          <w:kern w:val="0"/>
          <w:sz w:val="32"/>
          <w:szCs w:val="32"/>
        </w:rPr>
        <w:t>年初预算为</w:t>
      </w:r>
      <w:r>
        <w:rPr>
          <w:rFonts w:ascii="仿宋_GB2312" w:hAnsi="仿宋_GB2312" w:eastAsia="仿宋_GB2312" w:cs="仿宋_GB2312"/>
          <w:kern w:val="0"/>
          <w:sz w:val="32"/>
          <w:szCs w:val="32"/>
        </w:rPr>
        <w:t>43,209,678.46</w:t>
      </w:r>
      <w:r>
        <w:rPr>
          <w:rFonts w:hint="eastAsia" w:ascii="仿宋_GB2312" w:hAnsi="仿宋_GB2312" w:eastAsia="仿宋_GB2312" w:cs="仿宋_GB2312"/>
          <w:kern w:val="0"/>
          <w:sz w:val="32"/>
          <w:szCs w:val="32"/>
        </w:rPr>
        <w:t>元，支出决算为</w:t>
      </w:r>
      <w:r>
        <w:rPr>
          <w:rFonts w:ascii="仿宋_GB2312" w:hAnsi="仿宋_GB2312" w:eastAsia="仿宋_GB2312" w:cs="仿宋_GB2312"/>
          <w:kern w:val="0"/>
          <w:sz w:val="32"/>
          <w:szCs w:val="32"/>
        </w:rPr>
        <w:t>44,497,800.12</w:t>
      </w:r>
      <w:r>
        <w:rPr>
          <w:rFonts w:hint="eastAsia" w:ascii="仿宋_GB2312" w:hAnsi="仿宋_GB2312" w:eastAsia="仿宋_GB2312" w:cs="仿宋_GB2312"/>
          <w:kern w:val="0"/>
          <w:sz w:val="32"/>
          <w:szCs w:val="32"/>
        </w:rPr>
        <w:t>元，完成年初预算的2.98</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，决算数大于预算数的主要原因社保缴费增加。</w:t>
      </w:r>
    </w:p>
    <w:p>
      <w:pPr>
        <w:numPr>
          <w:ilvl w:val="0"/>
          <w:numId w:val="2"/>
        </w:numPr>
        <w:spacing w:line="540" w:lineRule="exact"/>
        <w:ind w:firstLine="614" w:firstLineChars="191"/>
        <w:rPr>
          <w:rFonts w:ascii="仿宋_GB2312" w:hAnsi="仿宋_GB2312" w:eastAsia="仿宋_GB2312" w:cs="Times New Roman"/>
          <w:kern w:val="0"/>
          <w:sz w:val="32"/>
          <w:szCs w:val="32"/>
        </w:rPr>
      </w:pPr>
      <w:r>
        <w:rPr>
          <w:rFonts w:hint="eastAsia" w:ascii="仿宋_GB2312" w:hAnsi="仿宋_GB2312" w:eastAsia="仿宋_GB2312" w:cs="仿宋_GB2312"/>
          <w:b/>
          <w:bCs/>
          <w:kern w:val="0"/>
          <w:sz w:val="32"/>
          <w:szCs w:val="32"/>
        </w:rPr>
        <w:t>一般行政管理事务。</w:t>
      </w:r>
      <w:r>
        <w:rPr>
          <w:rFonts w:hint="eastAsia" w:ascii="仿宋_GB2312" w:hAnsi="仿宋_GB2312" w:eastAsia="仿宋_GB2312" w:cs="仿宋_GB2312"/>
          <w:kern w:val="0"/>
          <w:sz w:val="32"/>
          <w:szCs w:val="32"/>
        </w:rPr>
        <w:t>年初预算为</w:t>
      </w:r>
      <w:r>
        <w:rPr>
          <w:rFonts w:ascii="仿宋_GB2312" w:hAnsi="仿宋_GB2312" w:eastAsia="仿宋_GB2312" w:cs="仿宋_GB2312"/>
          <w:kern w:val="0"/>
          <w:sz w:val="32"/>
          <w:szCs w:val="32"/>
        </w:rPr>
        <w:t>23,774,318.00</w:t>
      </w:r>
      <w:r>
        <w:rPr>
          <w:rFonts w:hint="eastAsia" w:ascii="仿宋_GB2312" w:hAnsi="仿宋_GB2312" w:eastAsia="仿宋_GB2312" w:cs="仿宋_GB2312"/>
          <w:kern w:val="0"/>
          <w:sz w:val="32"/>
          <w:szCs w:val="32"/>
        </w:rPr>
        <w:t>元，支出决算为</w:t>
      </w:r>
      <w:r>
        <w:rPr>
          <w:rFonts w:ascii="仿宋_GB2312" w:hAnsi="仿宋_GB2312" w:eastAsia="仿宋_GB2312" w:cs="仿宋_GB2312"/>
          <w:kern w:val="0"/>
          <w:sz w:val="32"/>
          <w:szCs w:val="32"/>
        </w:rPr>
        <w:t>39,325,312.25</w:t>
      </w:r>
      <w:r>
        <w:rPr>
          <w:rFonts w:hint="eastAsia" w:ascii="仿宋_GB2312" w:hAnsi="仿宋_GB2312" w:eastAsia="仿宋_GB2312" w:cs="仿宋_GB2312"/>
          <w:kern w:val="0"/>
          <w:sz w:val="32"/>
          <w:szCs w:val="32"/>
        </w:rPr>
        <w:t>元，完成年初预算的64.62</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，决算数大于预算数的主要原因项目增加。</w:t>
      </w:r>
    </w:p>
    <w:p>
      <w:pPr>
        <w:spacing w:line="540" w:lineRule="exact"/>
        <w:ind w:left="611"/>
        <w:rPr>
          <w:rFonts w:ascii="仿宋_GB2312" w:hAnsi="仿宋_GB2312" w:eastAsia="仿宋_GB2312" w:cs="Times New Roman"/>
          <w:kern w:val="0"/>
          <w:sz w:val="32"/>
          <w:szCs w:val="32"/>
        </w:rPr>
      </w:pPr>
    </w:p>
    <w:p>
      <w:pPr>
        <w:numPr>
          <w:ilvl w:val="0"/>
          <w:numId w:val="2"/>
        </w:numPr>
        <w:spacing w:line="540" w:lineRule="exact"/>
        <w:ind w:firstLine="614" w:firstLineChars="191"/>
        <w:rPr>
          <w:rFonts w:ascii="仿宋" w:hAnsi="仿宋" w:eastAsia="仿宋" w:cs="Times New Roman"/>
          <w:kern w:val="0"/>
          <w:sz w:val="32"/>
          <w:szCs w:val="32"/>
        </w:rPr>
      </w:pPr>
      <w:r>
        <w:rPr>
          <w:rFonts w:hint="eastAsia" w:ascii="仿宋_GB2312" w:hAnsi="仿宋_GB2312" w:eastAsia="仿宋_GB2312" w:cs="仿宋_GB2312"/>
          <w:b/>
          <w:bCs/>
          <w:kern w:val="0"/>
          <w:sz w:val="32"/>
          <w:szCs w:val="32"/>
        </w:rPr>
        <w:t>执法办案。</w:t>
      </w:r>
      <w:r>
        <w:rPr>
          <w:rFonts w:hint="eastAsia" w:ascii="仿宋_GB2312" w:hAnsi="仿宋_GB2312" w:eastAsia="仿宋_GB2312" w:cs="仿宋_GB2312"/>
          <w:kern w:val="0"/>
          <w:sz w:val="32"/>
          <w:szCs w:val="32"/>
        </w:rPr>
        <w:t>年初预算为</w:t>
      </w:r>
      <w:r>
        <w:rPr>
          <w:rFonts w:ascii="仿宋_GB2312" w:hAnsi="仿宋_GB2312" w:eastAsia="仿宋_GB2312" w:cs="仿宋_GB2312"/>
          <w:kern w:val="0"/>
          <w:sz w:val="32"/>
          <w:szCs w:val="32"/>
        </w:rPr>
        <w:t>10,841,539.74</w:t>
      </w:r>
      <w:r>
        <w:rPr>
          <w:rFonts w:hint="eastAsia" w:ascii="仿宋_GB2312" w:hAnsi="仿宋_GB2312" w:eastAsia="仿宋_GB2312" w:cs="仿宋_GB2312"/>
          <w:kern w:val="0"/>
          <w:sz w:val="32"/>
          <w:szCs w:val="32"/>
        </w:rPr>
        <w:t>元，支出决算为</w:t>
      </w:r>
      <w:r>
        <w:rPr>
          <w:rFonts w:ascii="仿宋_GB2312" w:hAnsi="仿宋_GB2312" w:eastAsia="仿宋_GB2312" w:cs="仿宋_GB2312"/>
          <w:kern w:val="0"/>
          <w:sz w:val="32"/>
          <w:szCs w:val="32"/>
        </w:rPr>
        <w:t>18</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689</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538.79</w:t>
      </w:r>
      <w:r>
        <w:rPr>
          <w:rFonts w:hint="eastAsia" w:ascii="仿宋_GB2312" w:hAnsi="仿宋_GB2312" w:eastAsia="仿宋_GB2312" w:cs="仿宋_GB2312"/>
          <w:kern w:val="0"/>
          <w:sz w:val="32"/>
          <w:szCs w:val="32"/>
        </w:rPr>
        <w:t>元，完成年初预算的172</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w:t>
      </w:r>
      <w:r>
        <w:rPr>
          <w:rFonts w:hint="eastAsia" w:ascii="仿宋" w:hAnsi="仿宋" w:eastAsia="仿宋" w:cs="仿宋_GB2312"/>
          <w:kern w:val="0"/>
          <w:sz w:val="32"/>
          <w:szCs w:val="32"/>
        </w:rPr>
        <w:t>算数大于预算数的主要原因</w:t>
      </w:r>
      <w:r>
        <w:rPr>
          <w:rFonts w:hint="eastAsia" w:ascii="仿宋" w:hAnsi="仿宋" w:eastAsia="仿宋" w:cs="宋体"/>
          <w:sz w:val="32"/>
          <w:szCs w:val="32"/>
        </w:rPr>
        <w:t>追加交通管理大队预算项目增加</w:t>
      </w:r>
      <w:r>
        <w:rPr>
          <w:rFonts w:hint="eastAsia" w:ascii="仿宋" w:hAnsi="仿宋" w:eastAsia="仿宋" w:cs="仿宋_GB2312"/>
          <w:kern w:val="0"/>
          <w:sz w:val="32"/>
          <w:szCs w:val="32"/>
        </w:rPr>
        <w:t>。</w:t>
      </w:r>
    </w:p>
    <w:p>
      <w:pPr>
        <w:numPr>
          <w:ilvl w:val="0"/>
          <w:numId w:val="2"/>
        </w:numPr>
        <w:spacing w:line="540" w:lineRule="exact"/>
        <w:ind w:firstLine="614" w:firstLineChars="191"/>
        <w:rPr>
          <w:rFonts w:ascii="仿宋" w:hAnsi="仿宋" w:eastAsia="仿宋" w:cs="Times New Roman"/>
          <w:kern w:val="0"/>
          <w:sz w:val="32"/>
          <w:szCs w:val="32"/>
        </w:rPr>
      </w:pPr>
      <w:r>
        <w:rPr>
          <w:rFonts w:hint="eastAsia" w:ascii="仿宋_GB2312" w:hAnsi="仿宋_GB2312" w:eastAsia="仿宋_GB2312" w:cs="仿宋_GB2312"/>
          <w:b/>
          <w:bCs/>
          <w:kern w:val="0"/>
          <w:sz w:val="32"/>
          <w:szCs w:val="32"/>
        </w:rPr>
        <w:t>信息化建设。</w:t>
      </w:r>
      <w:r>
        <w:rPr>
          <w:rFonts w:hint="eastAsia" w:ascii="仿宋" w:hAnsi="仿宋" w:eastAsia="仿宋" w:cs="仿宋_GB2312"/>
          <w:kern w:val="0"/>
          <w:sz w:val="32"/>
          <w:szCs w:val="32"/>
        </w:rPr>
        <w:t>年初预算为</w:t>
      </w:r>
      <w:r>
        <w:rPr>
          <w:rFonts w:ascii="仿宋" w:hAnsi="仿宋" w:eastAsia="仿宋" w:cs="仿宋_GB2312"/>
          <w:kern w:val="0"/>
          <w:sz w:val="32"/>
          <w:szCs w:val="32"/>
        </w:rPr>
        <w:t>2,084,860.00</w:t>
      </w:r>
      <w:r>
        <w:rPr>
          <w:rFonts w:hint="eastAsia" w:ascii="仿宋" w:hAnsi="仿宋" w:eastAsia="仿宋" w:cs="仿宋_GB2312"/>
          <w:kern w:val="0"/>
          <w:sz w:val="32"/>
          <w:szCs w:val="32"/>
        </w:rPr>
        <w:t>元，支出决算为</w:t>
      </w:r>
      <w:r>
        <w:rPr>
          <w:rFonts w:ascii="仿宋" w:hAnsi="仿宋" w:eastAsia="仿宋" w:cs="仿宋_GB2312"/>
          <w:kern w:val="0"/>
          <w:sz w:val="32"/>
          <w:szCs w:val="32"/>
        </w:rPr>
        <w:t>2,009,747.35</w:t>
      </w:r>
      <w:r>
        <w:rPr>
          <w:rFonts w:hint="eastAsia" w:ascii="仿宋" w:hAnsi="仿宋" w:eastAsia="仿宋" w:cs="仿宋_GB2312"/>
          <w:kern w:val="0"/>
          <w:sz w:val="32"/>
          <w:szCs w:val="32"/>
        </w:rPr>
        <w:t>元，完成年初预算的-3.6</w:t>
      </w:r>
      <w:r>
        <w:rPr>
          <w:rFonts w:ascii="仿宋" w:hAnsi="仿宋" w:eastAsia="仿宋" w:cs="仿宋_GB2312"/>
          <w:kern w:val="0"/>
          <w:sz w:val="32"/>
          <w:szCs w:val="32"/>
        </w:rPr>
        <w:t>%</w:t>
      </w:r>
      <w:r>
        <w:rPr>
          <w:rFonts w:hint="eastAsia" w:ascii="仿宋" w:hAnsi="仿宋" w:eastAsia="仿宋" w:cs="仿宋_GB2312"/>
          <w:kern w:val="0"/>
          <w:sz w:val="32"/>
          <w:szCs w:val="32"/>
        </w:rPr>
        <w:t>，决算数小于预算数的主要原因</w:t>
      </w:r>
      <w:r>
        <w:rPr>
          <w:rFonts w:hint="eastAsia" w:ascii="仿宋" w:hAnsi="仿宋" w:eastAsia="仿宋" w:cs="宋体"/>
          <w:sz w:val="32"/>
          <w:szCs w:val="32"/>
        </w:rPr>
        <w:t>支出项目资金减少</w:t>
      </w:r>
      <w:r>
        <w:rPr>
          <w:rFonts w:hint="eastAsia" w:ascii="仿宋" w:hAnsi="仿宋" w:eastAsia="仿宋" w:cs="仿宋_GB2312"/>
          <w:kern w:val="0"/>
          <w:sz w:val="32"/>
          <w:szCs w:val="32"/>
        </w:rPr>
        <w:t>。</w:t>
      </w:r>
    </w:p>
    <w:p>
      <w:pPr>
        <w:numPr>
          <w:ilvl w:val="0"/>
          <w:numId w:val="2"/>
        </w:numPr>
        <w:spacing w:line="540" w:lineRule="exact"/>
        <w:ind w:firstLine="614" w:firstLineChars="191"/>
        <w:rPr>
          <w:rFonts w:ascii="仿宋" w:hAnsi="仿宋" w:eastAsia="仿宋" w:cs="Times New Roman"/>
          <w:kern w:val="0"/>
          <w:sz w:val="32"/>
          <w:szCs w:val="32"/>
        </w:rPr>
      </w:pPr>
      <w:r>
        <w:rPr>
          <w:rFonts w:hint="eastAsia" w:ascii="仿宋_GB2312" w:hAnsi="仿宋_GB2312" w:eastAsia="仿宋_GB2312" w:cs="仿宋_GB2312"/>
          <w:b/>
          <w:bCs/>
          <w:kern w:val="0"/>
          <w:sz w:val="32"/>
          <w:szCs w:val="32"/>
        </w:rPr>
        <w:t>所政设施建设。</w:t>
      </w:r>
      <w:r>
        <w:rPr>
          <w:rFonts w:hint="eastAsia" w:ascii="仿宋" w:hAnsi="仿宋" w:eastAsia="仿宋" w:cs="仿宋_GB2312"/>
          <w:kern w:val="0"/>
          <w:sz w:val="32"/>
          <w:szCs w:val="32"/>
        </w:rPr>
        <w:t>年初预算为0元，支出决算为260,000.00元，决算数大于预算数的主要原因</w:t>
      </w:r>
      <w:r>
        <w:rPr>
          <w:rFonts w:hint="eastAsia" w:ascii="仿宋" w:hAnsi="仿宋" w:eastAsia="仿宋" w:cs="宋体"/>
          <w:sz w:val="32"/>
          <w:szCs w:val="32"/>
        </w:rPr>
        <w:t>追加预算项目增加</w:t>
      </w:r>
      <w:r>
        <w:rPr>
          <w:rFonts w:hint="eastAsia" w:ascii="仿宋" w:hAnsi="仿宋" w:eastAsia="仿宋" w:cs="仿宋_GB2312"/>
          <w:kern w:val="0"/>
          <w:sz w:val="32"/>
          <w:szCs w:val="32"/>
        </w:rPr>
        <w:t>。</w:t>
      </w:r>
    </w:p>
    <w:p>
      <w:pPr>
        <w:numPr>
          <w:ilvl w:val="0"/>
          <w:numId w:val="2"/>
        </w:numPr>
        <w:spacing w:line="540" w:lineRule="exact"/>
        <w:ind w:firstLine="614" w:firstLineChars="191"/>
        <w:rPr>
          <w:rFonts w:ascii="仿宋" w:hAnsi="仿宋" w:eastAsia="仿宋" w:cs="Times New Roman"/>
          <w:kern w:val="0"/>
          <w:sz w:val="32"/>
          <w:szCs w:val="32"/>
        </w:rPr>
      </w:pPr>
      <w:r>
        <w:rPr>
          <w:rFonts w:hint="eastAsia" w:ascii="仿宋_GB2312" w:hAnsi="仿宋_GB2312" w:eastAsia="仿宋_GB2312" w:cs="仿宋_GB2312"/>
          <w:b/>
          <w:bCs/>
          <w:kern w:val="0"/>
          <w:sz w:val="32"/>
          <w:szCs w:val="32"/>
        </w:rPr>
        <w:t>其他公共安全支出。</w:t>
      </w:r>
      <w:r>
        <w:rPr>
          <w:rFonts w:hint="eastAsia" w:ascii="仿宋" w:hAnsi="仿宋" w:eastAsia="仿宋" w:cs="仿宋_GB2312"/>
          <w:kern w:val="0"/>
          <w:sz w:val="32"/>
          <w:szCs w:val="32"/>
        </w:rPr>
        <w:t>年初预算为0元，支出决算为</w:t>
      </w:r>
      <w:r>
        <w:rPr>
          <w:rFonts w:ascii="仿宋" w:hAnsi="仿宋" w:eastAsia="仿宋" w:cs="仿宋_GB2312"/>
          <w:kern w:val="0"/>
          <w:sz w:val="32"/>
          <w:szCs w:val="32"/>
        </w:rPr>
        <w:t>1,097,857.00</w:t>
      </w:r>
      <w:r>
        <w:rPr>
          <w:rFonts w:hint="eastAsia" w:ascii="仿宋" w:hAnsi="仿宋" w:eastAsia="仿宋" w:cs="仿宋_GB2312"/>
          <w:kern w:val="0"/>
          <w:sz w:val="32"/>
          <w:szCs w:val="32"/>
        </w:rPr>
        <w:t>元，决算数大于预算数的主要原因</w:t>
      </w:r>
      <w:r>
        <w:rPr>
          <w:rFonts w:hint="eastAsia" w:ascii="仿宋" w:hAnsi="仿宋" w:eastAsia="仿宋" w:cs="宋体"/>
          <w:sz w:val="32"/>
          <w:szCs w:val="32"/>
        </w:rPr>
        <w:t>其他单位及市县拨款支出</w:t>
      </w:r>
      <w:r>
        <w:rPr>
          <w:rFonts w:hint="eastAsia" w:ascii="仿宋" w:hAnsi="仿宋" w:eastAsia="仿宋" w:cs="仿宋_GB2312"/>
          <w:kern w:val="0"/>
          <w:sz w:val="32"/>
          <w:szCs w:val="32"/>
        </w:rPr>
        <w:t>。</w:t>
      </w:r>
    </w:p>
    <w:p>
      <w:pPr>
        <w:numPr>
          <w:ilvl w:val="0"/>
          <w:numId w:val="2"/>
        </w:numPr>
        <w:spacing w:line="540" w:lineRule="exact"/>
        <w:ind w:firstLine="614" w:firstLineChars="191"/>
        <w:rPr>
          <w:rFonts w:ascii="仿宋" w:hAnsi="仿宋" w:eastAsia="仿宋" w:cs="Times New Roman"/>
          <w:kern w:val="0"/>
          <w:sz w:val="32"/>
          <w:szCs w:val="32"/>
        </w:rPr>
      </w:pPr>
      <w:r>
        <w:rPr>
          <w:rFonts w:hint="eastAsia" w:ascii="仿宋" w:hAnsi="仿宋" w:eastAsia="仿宋" w:cs="Times New Roman"/>
          <w:b/>
          <w:kern w:val="0"/>
          <w:sz w:val="32"/>
          <w:szCs w:val="32"/>
        </w:rPr>
        <w:t>机关事业单位基本养老保险缴费支出。</w:t>
      </w:r>
      <w:r>
        <w:rPr>
          <w:rFonts w:hint="eastAsia" w:ascii="仿宋" w:hAnsi="仿宋" w:eastAsia="仿宋" w:cs="仿宋_GB2312"/>
          <w:kern w:val="0"/>
          <w:sz w:val="32"/>
          <w:szCs w:val="32"/>
        </w:rPr>
        <w:t>年初预算为</w:t>
      </w:r>
      <w:r>
        <w:rPr>
          <w:rFonts w:ascii="仿宋" w:hAnsi="仿宋" w:eastAsia="仿宋" w:cs="仿宋_GB2312"/>
          <w:kern w:val="0"/>
          <w:sz w:val="32"/>
          <w:szCs w:val="32"/>
        </w:rPr>
        <w:t>5,144,256.00</w:t>
      </w:r>
      <w:r>
        <w:rPr>
          <w:rFonts w:hint="eastAsia" w:ascii="仿宋" w:hAnsi="仿宋" w:eastAsia="仿宋" w:cs="仿宋_GB2312"/>
          <w:kern w:val="0"/>
          <w:sz w:val="32"/>
          <w:szCs w:val="32"/>
        </w:rPr>
        <w:t>元，支出决算为</w:t>
      </w:r>
      <w:r>
        <w:rPr>
          <w:rFonts w:ascii="仿宋" w:hAnsi="仿宋" w:eastAsia="仿宋" w:cs="仿宋_GB2312"/>
          <w:kern w:val="0"/>
          <w:sz w:val="32"/>
          <w:szCs w:val="32"/>
        </w:rPr>
        <w:t>4,622,963.00</w:t>
      </w:r>
      <w:r>
        <w:rPr>
          <w:rFonts w:hint="eastAsia" w:ascii="仿宋" w:hAnsi="仿宋" w:eastAsia="仿宋" w:cs="仿宋_GB2312"/>
          <w:kern w:val="0"/>
          <w:sz w:val="32"/>
          <w:szCs w:val="32"/>
        </w:rPr>
        <w:t>元，完成年初预算的90</w:t>
      </w:r>
      <w:r>
        <w:rPr>
          <w:rFonts w:ascii="仿宋" w:hAnsi="仿宋" w:eastAsia="仿宋" w:cs="仿宋_GB2312"/>
          <w:kern w:val="0"/>
          <w:sz w:val="32"/>
          <w:szCs w:val="32"/>
        </w:rPr>
        <w:t>%</w:t>
      </w:r>
      <w:r>
        <w:rPr>
          <w:rFonts w:hint="eastAsia" w:ascii="仿宋" w:hAnsi="仿宋" w:eastAsia="仿宋" w:cs="仿宋_GB2312"/>
          <w:kern w:val="0"/>
          <w:sz w:val="32"/>
          <w:szCs w:val="32"/>
        </w:rPr>
        <w:t>，决算数小于预算数的主要原因退休人员增加</w:t>
      </w:r>
      <w:r>
        <w:rPr>
          <w:rFonts w:hint="eastAsia" w:ascii="仿宋" w:hAnsi="仿宋" w:eastAsia="仿宋" w:cs="宋体"/>
          <w:sz w:val="32"/>
          <w:szCs w:val="32"/>
        </w:rPr>
        <w:t>养老保险支出减少</w:t>
      </w:r>
      <w:r>
        <w:rPr>
          <w:rFonts w:hint="eastAsia" w:ascii="仿宋" w:hAnsi="仿宋" w:eastAsia="仿宋" w:cs="仿宋_GB2312"/>
          <w:kern w:val="0"/>
          <w:sz w:val="32"/>
          <w:szCs w:val="32"/>
        </w:rPr>
        <w:t>。</w:t>
      </w:r>
    </w:p>
    <w:p>
      <w:pPr>
        <w:numPr>
          <w:ilvl w:val="0"/>
          <w:numId w:val="2"/>
        </w:numPr>
        <w:spacing w:line="540" w:lineRule="exact"/>
        <w:ind w:firstLine="614" w:firstLineChars="191"/>
        <w:rPr>
          <w:rFonts w:ascii="仿宋" w:hAnsi="仿宋" w:eastAsia="仿宋" w:cs="Times New Roman"/>
          <w:kern w:val="0"/>
          <w:sz w:val="32"/>
          <w:szCs w:val="32"/>
        </w:rPr>
      </w:pPr>
      <w:r>
        <w:rPr>
          <w:rFonts w:hint="eastAsia" w:ascii="仿宋" w:hAnsi="仿宋" w:eastAsia="仿宋" w:cs="Times New Roman"/>
          <w:b/>
          <w:kern w:val="0"/>
          <w:sz w:val="32"/>
          <w:szCs w:val="32"/>
        </w:rPr>
        <w:t>行政单位医疗。</w:t>
      </w:r>
      <w:r>
        <w:rPr>
          <w:rFonts w:hint="eastAsia" w:ascii="仿宋" w:hAnsi="仿宋" w:eastAsia="仿宋" w:cs="仿宋_GB2312"/>
          <w:kern w:val="0"/>
          <w:sz w:val="32"/>
          <w:szCs w:val="32"/>
        </w:rPr>
        <w:t>年初预算为</w:t>
      </w:r>
      <w:r>
        <w:rPr>
          <w:rFonts w:ascii="仿宋" w:hAnsi="仿宋" w:eastAsia="仿宋" w:cs="仿宋_GB2312"/>
          <w:kern w:val="0"/>
          <w:sz w:val="32"/>
          <w:szCs w:val="32"/>
        </w:rPr>
        <w:t>2,057,702.40</w:t>
      </w:r>
      <w:r>
        <w:rPr>
          <w:rFonts w:hint="eastAsia" w:ascii="仿宋" w:hAnsi="仿宋" w:eastAsia="仿宋" w:cs="仿宋_GB2312"/>
          <w:kern w:val="0"/>
          <w:sz w:val="32"/>
          <w:szCs w:val="32"/>
        </w:rPr>
        <w:t>元，支出决算为</w:t>
      </w:r>
      <w:r>
        <w:rPr>
          <w:rFonts w:ascii="仿宋" w:hAnsi="仿宋" w:eastAsia="仿宋" w:cs="仿宋_GB2312"/>
          <w:kern w:val="0"/>
          <w:sz w:val="32"/>
          <w:szCs w:val="32"/>
        </w:rPr>
        <w:t>1,977,204.00</w:t>
      </w:r>
      <w:r>
        <w:rPr>
          <w:rFonts w:hint="eastAsia" w:ascii="仿宋" w:hAnsi="仿宋" w:eastAsia="仿宋" w:cs="仿宋_GB2312"/>
          <w:kern w:val="0"/>
          <w:sz w:val="32"/>
          <w:szCs w:val="32"/>
        </w:rPr>
        <w:t>元，完成年初预算的96</w:t>
      </w:r>
      <w:r>
        <w:rPr>
          <w:rFonts w:ascii="仿宋" w:hAnsi="仿宋" w:eastAsia="仿宋" w:cs="仿宋_GB2312"/>
          <w:kern w:val="0"/>
          <w:sz w:val="32"/>
          <w:szCs w:val="32"/>
        </w:rPr>
        <w:t>%</w:t>
      </w:r>
      <w:r>
        <w:rPr>
          <w:rFonts w:hint="eastAsia" w:ascii="仿宋" w:hAnsi="仿宋" w:eastAsia="仿宋" w:cs="仿宋_GB2312"/>
          <w:kern w:val="0"/>
          <w:sz w:val="32"/>
          <w:szCs w:val="32"/>
        </w:rPr>
        <w:t>，决算数小于预算数的主要原因退休人员增加</w:t>
      </w:r>
      <w:r>
        <w:rPr>
          <w:rFonts w:hint="eastAsia" w:ascii="仿宋" w:hAnsi="仿宋" w:eastAsia="仿宋" w:cs="宋体"/>
          <w:sz w:val="32"/>
          <w:szCs w:val="32"/>
        </w:rPr>
        <w:t>医疗保险支出减少</w:t>
      </w:r>
      <w:r>
        <w:rPr>
          <w:rFonts w:hint="eastAsia" w:ascii="仿宋" w:hAnsi="仿宋" w:eastAsia="仿宋" w:cs="仿宋_GB2312"/>
          <w:kern w:val="0"/>
          <w:sz w:val="32"/>
          <w:szCs w:val="32"/>
        </w:rPr>
        <w:t>。</w:t>
      </w:r>
    </w:p>
    <w:p>
      <w:pPr>
        <w:numPr>
          <w:ilvl w:val="0"/>
          <w:numId w:val="2"/>
        </w:numPr>
        <w:spacing w:line="540" w:lineRule="exact"/>
        <w:ind w:firstLine="614" w:firstLineChars="191"/>
        <w:rPr>
          <w:rFonts w:ascii="仿宋" w:hAnsi="仿宋" w:eastAsia="仿宋" w:cs="Times New Roman"/>
          <w:kern w:val="0"/>
          <w:sz w:val="32"/>
          <w:szCs w:val="32"/>
        </w:rPr>
      </w:pPr>
      <w:r>
        <w:rPr>
          <w:rFonts w:hint="eastAsia" w:ascii="仿宋" w:hAnsi="仿宋" w:eastAsia="仿宋" w:cs="Times New Roman"/>
          <w:b/>
          <w:kern w:val="0"/>
          <w:sz w:val="32"/>
          <w:szCs w:val="32"/>
        </w:rPr>
        <w:t>公务员医疗补助。</w:t>
      </w:r>
      <w:r>
        <w:rPr>
          <w:rFonts w:hint="eastAsia" w:ascii="仿宋" w:hAnsi="仿宋" w:eastAsia="仿宋" w:cs="仿宋_GB2312"/>
          <w:kern w:val="0"/>
          <w:sz w:val="32"/>
          <w:szCs w:val="32"/>
        </w:rPr>
        <w:t>年初预算为</w:t>
      </w:r>
      <w:r>
        <w:rPr>
          <w:rFonts w:ascii="仿宋" w:hAnsi="仿宋" w:eastAsia="仿宋" w:cs="仿宋_GB2312"/>
          <w:kern w:val="0"/>
          <w:sz w:val="32"/>
          <w:szCs w:val="32"/>
        </w:rPr>
        <w:t>696,014.10</w:t>
      </w:r>
      <w:r>
        <w:rPr>
          <w:rFonts w:hint="eastAsia" w:ascii="仿宋" w:hAnsi="仿宋" w:eastAsia="仿宋" w:cs="仿宋_GB2312"/>
          <w:kern w:val="0"/>
          <w:sz w:val="32"/>
          <w:szCs w:val="32"/>
        </w:rPr>
        <w:t>元，支出决算为</w:t>
      </w:r>
      <w:r>
        <w:rPr>
          <w:rFonts w:ascii="仿宋" w:hAnsi="仿宋" w:eastAsia="仿宋" w:cs="仿宋_GB2312"/>
          <w:kern w:val="0"/>
          <w:sz w:val="32"/>
          <w:szCs w:val="32"/>
        </w:rPr>
        <w:t>698,514.86</w:t>
      </w:r>
      <w:r>
        <w:rPr>
          <w:rFonts w:hint="eastAsia" w:ascii="仿宋" w:hAnsi="仿宋" w:eastAsia="仿宋" w:cs="仿宋_GB2312"/>
          <w:kern w:val="0"/>
          <w:sz w:val="32"/>
          <w:szCs w:val="32"/>
        </w:rPr>
        <w:t>元，完成年初预算的100</w:t>
      </w:r>
      <w:r>
        <w:rPr>
          <w:rFonts w:ascii="仿宋" w:hAnsi="仿宋" w:eastAsia="仿宋" w:cs="仿宋_GB2312"/>
          <w:kern w:val="0"/>
          <w:sz w:val="32"/>
          <w:szCs w:val="32"/>
        </w:rPr>
        <w:t>%</w:t>
      </w:r>
      <w:r>
        <w:rPr>
          <w:rFonts w:hint="eastAsia" w:ascii="仿宋" w:hAnsi="仿宋" w:eastAsia="仿宋" w:cs="仿宋_GB2312"/>
          <w:kern w:val="0"/>
          <w:sz w:val="32"/>
          <w:szCs w:val="32"/>
        </w:rPr>
        <w:t>，决算数大于预算数的主要原因基数变动。</w:t>
      </w:r>
    </w:p>
    <w:p>
      <w:pPr>
        <w:numPr>
          <w:ilvl w:val="0"/>
          <w:numId w:val="2"/>
        </w:numPr>
        <w:spacing w:line="540" w:lineRule="exact"/>
        <w:ind w:firstLine="614" w:firstLineChars="191"/>
        <w:rPr>
          <w:rFonts w:ascii="仿宋" w:hAnsi="仿宋" w:eastAsia="仿宋" w:cs="Times New Roman"/>
          <w:kern w:val="0"/>
          <w:sz w:val="32"/>
          <w:szCs w:val="32"/>
        </w:rPr>
      </w:pPr>
      <w:r>
        <w:rPr>
          <w:rFonts w:hint="eastAsia" w:ascii="仿宋" w:hAnsi="仿宋" w:eastAsia="仿宋" w:cs="Times New Roman"/>
          <w:b/>
          <w:kern w:val="0"/>
          <w:sz w:val="32"/>
          <w:szCs w:val="32"/>
        </w:rPr>
        <w:t>能源节约利用。</w:t>
      </w:r>
      <w:r>
        <w:rPr>
          <w:rFonts w:hint="eastAsia" w:ascii="仿宋" w:hAnsi="仿宋" w:eastAsia="仿宋" w:cs="仿宋_GB2312"/>
          <w:kern w:val="0"/>
          <w:sz w:val="32"/>
          <w:szCs w:val="32"/>
        </w:rPr>
        <w:t>年初预算为0元，支出决算为</w:t>
      </w:r>
      <w:r>
        <w:rPr>
          <w:rFonts w:ascii="仿宋" w:hAnsi="仿宋" w:eastAsia="仿宋" w:cs="仿宋_GB2312"/>
          <w:kern w:val="0"/>
          <w:sz w:val="32"/>
          <w:szCs w:val="32"/>
        </w:rPr>
        <w:t>100,000.00</w:t>
      </w:r>
      <w:r>
        <w:rPr>
          <w:rFonts w:hint="eastAsia" w:ascii="仿宋" w:hAnsi="仿宋" w:eastAsia="仿宋" w:cs="仿宋_GB2312"/>
          <w:kern w:val="0"/>
          <w:sz w:val="32"/>
          <w:szCs w:val="32"/>
        </w:rPr>
        <w:t>元，决算数大于预算数的主要原因追加预算资金。</w:t>
      </w:r>
    </w:p>
    <w:p>
      <w:pPr>
        <w:numPr>
          <w:ilvl w:val="0"/>
          <w:numId w:val="2"/>
        </w:numPr>
        <w:spacing w:line="540" w:lineRule="exact"/>
        <w:ind w:firstLine="614" w:firstLineChars="191"/>
        <w:rPr>
          <w:rFonts w:ascii="仿宋" w:hAnsi="仿宋" w:eastAsia="仿宋" w:cs="Times New Roman"/>
          <w:kern w:val="0"/>
          <w:sz w:val="32"/>
          <w:szCs w:val="32"/>
        </w:rPr>
      </w:pPr>
      <w:r>
        <w:rPr>
          <w:rFonts w:hint="eastAsia" w:ascii="仿宋" w:hAnsi="仿宋" w:eastAsia="仿宋" w:cs="Times New Roman"/>
          <w:b/>
          <w:kern w:val="0"/>
          <w:sz w:val="32"/>
          <w:szCs w:val="32"/>
        </w:rPr>
        <w:t>购房补贴。</w:t>
      </w:r>
      <w:r>
        <w:rPr>
          <w:rFonts w:hint="eastAsia" w:ascii="仿宋" w:hAnsi="仿宋" w:eastAsia="仿宋" w:cs="仿宋_GB2312"/>
          <w:kern w:val="0"/>
          <w:sz w:val="32"/>
          <w:szCs w:val="32"/>
        </w:rPr>
        <w:t>年初预算为</w:t>
      </w:r>
      <w:r>
        <w:rPr>
          <w:rFonts w:ascii="仿宋" w:hAnsi="仿宋" w:eastAsia="仿宋" w:cs="仿宋_GB2312"/>
          <w:kern w:val="0"/>
          <w:sz w:val="32"/>
          <w:szCs w:val="32"/>
        </w:rPr>
        <w:t>1,232,000.00</w:t>
      </w:r>
      <w:r>
        <w:rPr>
          <w:rFonts w:hint="eastAsia" w:ascii="仿宋" w:hAnsi="仿宋" w:eastAsia="仿宋" w:cs="仿宋_GB2312"/>
          <w:kern w:val="0"/>
          <w:sz w:val="32"/>
          <w:szCs w:val="32"/>
        </w:rPr>
        <w:t>元，支出决算为</w:t>
      </w:r>
      <w:r>
        <w:rPr>
          <w:rFonts w:ascii="仿宋" w:hAnsi="仿宋" w:eastAsia="仿宋" w:cs="仿宋_GB2312"/>
          <w:kern w:val="0"/>
          <w:sz w:val="32"/>
          <w:szCs w:val="32"/>
        </w:rPr>
        <w:t>920,000.00</w:t>
      </w:r>
      <w:r>
        <w:rPr>
          <w:rFonts w:hint="eastAsia" w:ascii="仿宋" w:hAnsi="仿宋" w:eastAsia="仿宋" w:cs="仿宋_GB2312"/>
          <w:kern w:val="0"/>
          <w:sz w:val="32"/>
          <w:szCs w:val="32"/>
        </w:rPr>
        <w:t>元，决算数小于预算数的主要原因退休人员增加购房补贴</w:t>
      </w:r>
      <w:r>
        <w:rPr>
          <w:rFonts w:hint="eastAsia" w:ascii="仿宋" w:hAnsi="仿宋" w:eastAsia="仿宋" w:cs="宋体"/>
          <w:sz w:val="32"/>
          <w:szCs w:val="32"/>
        </w:rPr>
        <w:t>支出减少</w:t>
      </w:r>
      <w:r>
        <w:rPr>
          <w:rFonts w:hint="eastAsia" w:ascii="仿宋" w:hAnsi="仿宋" w:eastAsia="仿宋" w:cs="仿宋_GB2312"/>
          <w:kern w:val="0"/>
          <w:sz w:val="32"/>
          <w:szCs w:val="32"/>
        </w:rPr>
        <w:t>。</w:t>
      </w:r>
    </w:p>
    <w:p>
      <w:pPr>
        <w:spacing w:line="540" w:lineRule="exact"/>
        <w:ind w:firstLine="640" w:firstLineChars="200"/>
        <w:outlineLvl w:val="1"/>
        <w:rPr>
          <w:rFonts w:ascii="黑体" w:hAnsi="黑体" w:eastAsia="黑体" w:cs="Times New Roman"/>
          <w:kern w:val="0"/>
          <w:sz w:val="32"/>
          <w:szCs w:val="32"/>
        </w:rPr>
      </w:pPr>
      <w:r>
        <w:rPr>
          <w:rFonts w:hint="eastAsia" w:ascii="黑体" w:hAnsi="黑体" w:eastAsia="黑体" w:cs="黑体"/>
          <w:kern w:val="0"/>
          <w:sz w:val="32"/>
          <w:szCs w:val="32"/>
        </w:rPr>
        <w:t>六、一般公共预算财政拨款基本支出决算情况说明（按经济分类填列到款级科目）</w:t>
      </w:r>
    </w:p>
    <w:p>
      <w:pPr>
        <w:pStyle w:val="8"/>
        <w:spacing w:line="540" w:lineRule="exact"/>
        <w:ind w:firstLine="640" w:firstLineChars="200"/>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2019年度一般公共预算财政拨款基本支</w:t>
      </w:r>
      <w:r>
        <w:rPr>
          <w:rFonts w:ascii="仿宋_GB2312" w:hAnsi="宋体" w:eastAsia="仿宋_GB2312" w:cs="仿宋_GB2312"/>
          <w:color w:val="auto"/>
          <w:sz w:val="32"/>
          <w:szCs w:val="32"/>
        </w:rPr>
        <w:t>58,438,536.99</w:t>
      </w:r>
      <w:r>
        <w:rPr>
          <w:rFonts w:hint="eastAsia" w:ascii="仿宋_GB2312" w:hAnsi="宋体" w:eastAsia="仿宋_GB2312" w:cs="仿宋_GB2312"/>
          <w:color w:val="auto"/>
          <w:sz w:val="32"/>
          <w:szCs w:val="32"/>
        </w:rPr>
        <w:t>元，</w:t>
      </w:r>
      <w:r>
        <w:rPr>
          <w:rFonts w:hint="eastAsia" w:ascii="仿宋_GB2312" w:hAnsi="宋体" w:eastAsia="仿宋_GB2312" w:cs="仿宋_GB2312"/>
          <w:sz w:val="32"/>
          <w:szCs w:val="32"/>
        </w:rPr>
        <w:t>其中：人员经费</w:t>
      </w:r>
      <w:r>
        <w:rPr>
          <w:rFonts w:ascii="仿宋_GB2312" w:hAnsi="宋体" w:eastAsia="仿宋_GB2312" w:cs="仿宋_GB2312"/>
          <w:sz w:val="32"/>
          <w:szCs w:val="32"/>
        </w:rPr>
        <w:t>50,748,910.32</w:t>
      </w:r>
      <w:r>
        <w:rPr>
          <w:rFonts w:hint="eastAsia" w:ascii="仿宋_GB2312" w:hAnsi="宋体" w:eastAsia="仿宋_GB2312" w:cs="仿宋_GB2312"/>
          <w:sz w:val="32"/>
          <w:szCs w:val="32"/>
        </w:rPr>
        <w:t>元，公用经费</w:t>
      </w:r>
      <w:r>
        <w:rPr>
          <w:rFonts w:ascii="仿宋_GB2312" w:hAnsi="宋体" w:eastAsia="仿宋_GB2312" w:cs="仿宋_GB2312"/>
          <w:sz w:val="32"/>
          <w:szCs w:val="32"/>
        </w:rPr>
        <w:t>7,689,626.67</w:t>
      </w:r>
      <w:r>
        <w:rPr>
          <w:rFonts w:hint="eastAsia" w:ascii="仿宋_GB2312" w:hAnsi="宋体" w:eastAsia="仿宋_GB2312" w:cs="仿宋_GB2312"/>
          <w:sz w:val="32"/>
          <w:szCs w:val="32"/>
        </w:rPr>
        <w:t>元。</w:t>
      </w:r>
      <w:r>
        <w:rPr>
          <w:rFonts w:hint="eastAsia" w:ascii="仿宋_GB2312" w:hAnsi="宋体" w:eastAsia="仿宋_GB2312" w:cs="仿宋_GB2312"/>
          <w:color w:val="auto"/>
          <w:sz w:val="32"/>
          <w:szCs w:val="32"/>
        </w:rPr>
        <w:t>支出具体情况如下：</w:t>
      </w:r>
    </w:p>
    <w:p>
      <w:pPr>
        <w:pStyle w:val="8"/>
        <w:spacing w:line="540" w:lineRule="exact"/>
        <w:ind w:firstLine="640" w:firstLineChars="200"/>
        <w:rPr>
          <w:rFonts w:ascii="仿宋_GB2312" w:hAnsi="宋体" w:eastAsia="仿宋_GB2312" w:cs="Times New Roman"/>
          <w:color w:val="auto"/>
          <w:sz w:val="32"/>
          <w:szCs w:val="32"/>
        </w:rPr>
      </w:pPr>
      <w:r>
        <w:rPr>
          <w:rFonts w:ascii="仿宋_GB2312" w:hAnsi="宋体" w:eastAsia="仿宋_GB2312" w:cs="仿宋_GB2312"/>
          <w:color w:val="auto"/>
          <w:sz w:val="32"/>
          <w:szCs w:val="32"/>
        </w:rPr>
        <w:t>1.</w:t>
      </w:r>
      <w:r>
        <w:rPr>
          <w:rFonts w:hint="eastAsia" w:ascii="仿宋_GB2312" w:hAnsi="宋体" w:eastAsia="仿宋_GB2312" w:cs="仿宋_GB2312"/>
          <w:color w:val="auto"/>
          <w:sz w:val="32"/>
          <w:szCs w:val="32"/>
        </w:rPr>
        <w:t>工资福利支出</w:t>
      </w:r>
      <w:r>
        <w:rPr>
          <w:rFonts w:ascii="仿宋_GB2312" w:hAnsi="宋体" w:eastAsia="仿宋_GB2312" w:cs="仿宋_GB2312"/>
          <w:color w:val="auto"/>
          <w:sz w:val="32"/>
          <w:szCs w:val="32"/>
        </w:rPr>
        <w:t>49,011,986.70</w:t>
      </w:r>
      <w:r>
        <w:rPr>
          <w:rFonts w:hint="eastAsia" w:ascii="仿宋_GB2312" w:hAnsi="宋体" w:eastAsia="仿宋_GB2312" w:cs="仿宋_GB2312"/>
          <w:color w:val="auto"/>
          <w:sz w:val="32"/>
          <w:szCs w:val="32"/>
        </w:rPr>
        <w:t>元，较年初预算数减少</w:t>
      </w:r>
      <w:r>
        <w:rPr>
          <w:rFonts w:ascii="仿宋_GB2312" w:hAnsi="宋体" w:eastAsia="仿宋_GB2312" w:cs="仿宋_GB2312"/>
          <w:color w:val="auto"/>
          <w:sz w:val="32"/>
          <w:szCs w:val="32"/>
        </w:rPr>
        <w:t>7</w:t>
      </w:r>
      <w:r>
        <w:rPr>
          <w:rFonts w:hint="eastAsia" w:ascii="仿宋_GB2312" w:hAnsi="宋体" w:eastAsia="仿宋_GB2312" w:cs="仿宋_GB2312"/>
          <w:color w:val="auto"/>
          <w:sz w:val="32"/>
          <w:szCs w:val="32"/>
        </w:rPr>
        <w:t>,</w:t>
      </w:r>
      <w:r>
        <w:rPr>
          <w:rFonts w:ascii="仿宋_GB2312" w:hAnsi="宋体" w:eastAsia="仿宋_GB2312" w:cs="仿宋_GB2312"/>
          <w:color w:val="auto"/>
          <w:sz w:val="32"/>
          <w:szCs w:val="32"/>
        </w:rPr>
        <w:t>378</w:t>
      </w:r>
      <w:r>
        <w:rPr>
          <w:rFonts w:hint="eastAsia" w:ascii="仿宋_GB2312" w:hAnsi="宋体" w:eastAsia="仿宋_GB2312" w:cs="仿宋_GB2312"/>
          <w:color w:val="auto"/>
          <w:sz w:val="32"/>
          <w:szCs w:val="32"/>
        </w:rPr>
        <w:t>,</w:t>
      </w:r>
      <w:r>
        <w:rPr>
          <w:rFonts w:ascii="仿宋_GB2312" w:hAnsi="宋体" w:eastAsia="仿宋_GB2312" w:cs="仿宋_GB2312"/>
          <w:color w:val="auto"/>
          <w:sz w:val="32"/>
          <w:szCs w:val="32"/>
        </w:rPr>
        <w:t>870.70</w:t>
      </w:r>
      <w:r>
        <w:rPr>
          <w:rFonts w:hint="eastAsia" w:ascii="仿宋_GB2312" w:hAnsi="宋体" w:eastAsia="仿宋_GB2312" w:cs="仿宋_GB2312"/>
          <w:color w:val="auto"/>
          <w:sz w:val="32"/>
          <w:szCs w:val="32"/>
        </w:rPr>
        <w:t>元，下降13</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，主要原因是</w:t>
      </w:r>
      <w:r>
        <w:rPr>
          <w:rFonts w:hint="eastAsia" w:ascii="仿宋" w:hAnsi="仿宋" w:eastAsia="仿宋" w:cs="仿宋_GB2312"/>
          <w:color w:val="auto"/>
          <w:sz w:val="32"/>
          <w:szCs w:val="32"/>
        </w:rPr>
        <w:t>退休人员增加</w:t>
      </w:r>
      <w:r>
        <w:rPr>
          <w:rFonts w:hint="eastAsia" w:ascii="仿宋" w:hAnsi="仿宋" w:eastAsia="仿宋"/>
          <w:color w:val="auto"/>
          <w:sz w:val="32"/>
          <w:szCs w:val="32"/>
        </w:rPr>
        <w:t>工资支出减少</w:t>
      </w:r>
      <w:r>
        <w:rPr>
          <w:rFonts w:hint="eastAsia" w:ascii="仿宋_GB2312" w:hAnsi="宋体" w:eastAsia="仿宋_GB2312" w:cs="仿宋_GB2312"/>
          <w:color w:val="auto"/>
          <w:sz w:val="32"/>
          <w:szCs w:val="32"/>
        </w:rPr>
        <w:t>；较上年决算数增加</w:t>
      </w:r>
      <w:r>
        <w:rPr>
          <w:rFonts w:ascii="仿宋_GB2312" w:hAnsi="宋体" w:eastAsia="仿宋_GB2312" w:cs="仿宋_GB2312"/>
          <w:color w:val="auto"/>
          <w:sz w:val="32"/>
          <w:szCs w:val="32"/>
        </w:rPr>
        <w:t>6,164,899.84</w:t>
      </w:r>
      <w:r>
        <w:rPr>
          <w:rFonts w:hint="eastAsia" w:ascii="仿宋_GB2312" w:hAnsi="宋体" w:eastAsia="仿宋_GB2312" w:cs="仿宋_GB2312"/>
          <w:color w:val="auto"/>
          <w:sz w:val="32"/>
          <w:szCs w:val="32"/>
        </w:rPr>
        <w:t>元，增长14.39</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p>
    <w:p>
      <w:pPr>
        <w:pStyle w:val="8"/>
        <w:spacing w:line="540" w:lineRule="exact"/>
        <w:ind w:firstLine="640" w:firstLineChars="200"/>
        <w:rPr>
          <w:rFonts w:ascii="仿宋_GB2312" w:hAnsi="宋体" w:eastAsia="仿宋_GB2312" w:cs="仿宋_GB2312"/>
          <w:color w:val="auto"/>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rPr>
        <w:t>商品和服务支出</w:t>
      </w:r>
      <w:r>
        <w:rPr>
          <w:rFonts w:ascii="仿宋_GB2312" w:eastAsia="仿宋_GB2312" w:cs="仿宋_GB2312"/>
          <w:color w:val="auto"/>
          <w:sz w:val="32"/>
          <w:szCs w:val="32"/>
        </w:rPr>
        <w:t>7,427,528.86</w:t>
      </w:r>
      <w:r>
        <w:rPr>
          <w:rFonts w:hint="eastAsia" w:ascii="仿宋_GB2312" w:eastAsia="仿宋_GB2312" w:cs="仿宋_GB2312"/>
          <w:color w:val="auto"/>
          <w:sz w:val="32"/>
          <w:szCs w:val="32"/>
        </w:rPr>
        <w:t>元，</w:t>
      </w:r>
      <w:r>
        <w:rPr>
          <w:rFonts w:hint="eastAsia" w:ascii="仿宋_GB2312" w:hAnsi="宋体" w:eastAsia="仿宋_GB2312" w:cs="仿宋_GB2312"/>
          <w:color w:val="auto"/>
          <w:sz w:val="32"/>
          <w:szCs w:val="32"/>
        </w:rPr>
        <w:t>较年初预算数减少</w:t>
      </w:r>
      <w:r>
        <w:rPr>
          <w:rFonts w:ascii="仿宋_GB2312" w:hAnsi="宋体" w:eastAsia="仿宋_GB2312" w:cs="仿宋_GB2312"/>
          <w:color w:val="auto"/>
          <w:sz w:val="32"/>
          <w:szCs w:val="32"/>
        </w:rPr>
        <w:t>6</w:t>
      </w:r>
      <w:r>
        <w:rPr>
          <w:rFonts w:hint="eastAsia" w:ascii="仿宋_GB2312" w:hAnsi="宋体" w:eastAsia="仿宋_GB2312" w:cs="仿宋_GB2312"/>
          <w:color w:val="auto"/>
          <w:sz w:val="32"/>
          <w:szCs w:val="32"/>
        </w:rPr>
        <w:t>,</w:t>
      </w:r>
      <w:r>
        <w:rPr>
          <w:rFonts w:ascii="仿宋_GB2312" w:hAnsi="宋体" w:eastAsia="仿宋_GB2312" w:cs="仿宋_GB2312"/>
          <w:color w:val="auto"/>
          <w:sz w:val="32"/>
          <w:szCs w:val="32"/>
        </w:rPr>
        <w:t>201</w:t>
      </w:r>
      <w:r>
        <w:rPr>
          <w:rFonts w:hint="eastAsia" w:ascii="仿宋_GB2312" w:hAnsi="宋体" w:eastAsia="仿宋_GB2312" w:cs="仿宋_GB2312"/>
          <w:color w:val="auto"/>
          <w:sz w:val="32"/>
          <w:szCs w:val="32"/>
        </w:rPr>
        <w:t>,</w:t>
      </w:r>
      <w:r>
        <w:rPr>
          <w:rFonts w:ascii="仿宋_GB2312" w:hAnsi="宋体" w:eastAsia="仿宋_GB2312" w:cs="仿宋_GB2312"/>
          <w:color w:val="auto"/>
          <w:sz w:val="32"/>
          <w:szCs w:val="32"/>
        </w:rPr>
        <w:t>465.14</w:t>
      </w:r>
      <w:r>
        <w:rPr>
          <w:rFonts w:hint="eastAsia" w:ascii="仿宋_GB2312" w:hAnsi="宋体" w:eastAsia="仿宋_GB2312" w:cs="仿宋_GB2312"/>
          <w:color w:val="auto"/>
          <w:sz w:val="32"/>
          <w:szCs w:val="32"/>
        </w:rPr>
        <w:t>元，下降45.5</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，主要原因是上年基本支出人员经费在2019年预算时列为项目资金；较上年决算数减少</w:t>
      </w:r>
      <w:r>
        <w:rPr>
          <w:rFonts w:ascii="仿宋_GB2312" w:hAnsi="宋体" w:eastAsia="仿宋_GB2312" w:cs="仿宋_GB2312"/>
          <w:color w:val="auto"/>
          <w:sz w:val="32"/>
          <w:szCs w:val="32"/>
        </w:rPr>
        <w:t>8,480,617.05</w:t>
      </w:r>
      <w:r>
        <w:rPr>
          <w:rFonts w:hint="eastAsia" w:ascii="仿宋_GB2312" w:hAnsi="宋体" w:eastAsia="仿宋_GB2312" w:cs="仿宋_GB2312"/>
          <w:color w:val="auto"/>
          <w:sz w:val="32"/>
          <w:szCs w:val="32"/>
        </w:rPr>
        <w:t>元，下降53.3</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p>
    <w:p>
      <w:pPr>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对个人和家庭的补助</w:t>
      </w:r>
      <w:r>
        <w:rPr>
          <w:rFonts w:ascii="仿宋_GB2312" w:hAnsi="宋体" w:eastAsia="仿宋_GB2312" w:cs="仿宋_GB2312"/>
          <w:sz w:val="32"/>
          <w:szCs w:val="32"/>
        </w:rPr>
        <w:t>1,747,760.48</w:t>
      </w:r>
      <w:r>
        <w:rPr>
          <w:rFonts w:hint="eastAsia" w:ascii="仿宋_GB2312" w:hAnsi="宋体" w:eastAsia="仿宋_GB2312" w:cs="仿宋_GB2312"/>
          <w:sz w:val="32"/>
          <w:szCs w:val="32"/>
        </w:rPr>
        <w:t>元，较年初预算数减少</w:t>
      </w:r>
      <w:r>
        <w:rPr>
          <w:rFonts w:ascii="仿宋_GB2312" w:hAnsi="宋体" w:eastAsia="仿宋_GB2312" w:cs="仿宋_GB2312"/>
          <w:sz w:val="32"/>
          <w:szCs w:val="32"/>
        </w:rPr>
        <w:t>22,174,225.62</w:t>
      </w:r>
      <w:r>
        <w:rPr>
          <w:rFonts w:hint="eastAsia" w:ascii="仿宋_GB2312" w:hAnsi="宋体" w:eastAsia="仿宋_GB2312" w:cs="仿宋_GB2312"/>
          <w:sz w:val="32"/>
          <w:szCs w:val="32"/>
        </w:rPr>
        <w:t>元，下降92.6</w:t>
      </w:r>
      <w:r>
        <w:rPr>
          <w:rFonts w:ascii="仿宋_GB2312" w:hAnsi="宋体" w:eastAsia="仿宋_GB2312" w:cs="仿宋_GB2312"/>
          <w:sz w:val="32"/>
          <w:szCs w:val="32"/>
        </w:rPr>
        <w:t>%</w:t>
      </w:r>
      <w:r>
        <w:rPr>
          <w:rFonts w:hint="eastAsia" w:ascii="仿宋_GB2312" w:hAnsi="宋体" w:eastAsia="仿宋_GB2312" w:cs="仿宋_GB2312"/>
          <w:sz w:val="32"/>
          <w:szCs w:val="32"/>
        </w:rPr>
        <w:t>，主要原因是主要原因是上年基本支出人员经费在2019年预算时列为项目资金；较上年决算数减少</w:t>
      </w:r>
      <w:r>
        <w:rPr>
          <w:rFonts w:ascii="仿宋_GB2312" w:hAnsi="宋体" w:eastAsia="仿宋_GB2312" w:cs="仿宋_GB2312"/>
          <w:sz w:val="32"/>
          <w:szCs w:val="32"/>
        </w:rPr>
        <w:t>3,933,966.9</w:t>
      </w:r>
      <w:r>
        <w:rPr>
          <w:rFonts w:hint="eastAsia" w:ascii="仿宋_GB2312" w:hAnsi="宋体" w:eastAsia="仿宋_GB2312" w:cs="仿宋_GB2312"/>
          <w:sz w:val="32"/>
          <w:szCs w:val="32"/>
        </w:rPr>
        <w:t>元，下降69.2</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pStyle w:val="8"/>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其他资本性支出</w:t>
      </w:r>
      <w:r>
        <w:rPr>
          <w:rFonts w:ascii="仿宋_GB2312" w:eastAsia="仿宋_GB2312" w:cs="仿宋_GB2312"/>
          <w:sz w:val="32"/>
          <w:szCs w:val="32"/>
        </w:rPr>
        <w:t>262,391.52</w:t>
      </w:r>
      <w:r>
        <w:rPr>
          <w:rFonts w:hint="eastAsia" w:ascii="仿宋_GB2312" w:eastAsia="仿宋_GB2312" w:cs="仿宋_GB2312"/>
          <w:sz w:val="32"/>
          <w:szCs w:val="32"/>
        </w:rPr>
        <w:t>元，</w:t>
      </w:r>
      <w:r>
        <w:rPr>
          <w:rFonts w:hint="eastAsia" w:ascii="仿宋_GB2312" w:hAnsi="宋体" w:eastAsia="仿宋_GB2312" w:cs="仿宋_GB2312"/>
          <w:color w:val="auto"/>
          <w:sz w:val="32"/>
          <w:szCs w:val="32"/>
        </w:rPr>
        <w:t>年初预算数0元，主要原因是设备购置增加；较上年决算数减少</w:t>
      </w:r>
      <w:r>
        <w:rPr>
          <w:rFonts w:ascii="仿宋_GB2312" w:hAnsi="宋体" w:eastAsia="仿宋_GB2312" w:cs="仿宋_GB2312"/>
          <w:color w:val="auto"/>
          <w:sz w:val="32"/>
          <w:szCs w:val="32"/>
        </w:rPr>
        <w:t>193,858.48</w:t>
      </w:r>
      <w:r>
        <w:rPr>
          <w:rFonts w:hint="eastAsia" w:ascii="仿宋_GB2312" w:hAnsi="宋体" w:eastAsia="仿宋_GB2312" w:cs="仿宋_GB2312"/>
          <w:color w:val="auto"/>
          <w:sz w:val="32"/>
          <w:szCs w:val="32"/>
        </w:rPr>
        <w:t>元，下降42.5</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，主要原因为设备购置费较上年减少。</w:t>
      </w:r>
    </w:p>
    <w:p>
      <w:pPr>
        <w:spacing w:line="540" w:lineRule="exact"/>
        <w:ind w:firstLine="640" w:firstLineChars="200"/>
        <w:outlineLvl w:val="1"/>
        <w:rPr>
          <w:rFonts w:ascii="黑体" w:hAnsi="黑体" w:eastAsia="黑体" w:cs="Times New Roman"/>
          <w:kern w:val="0"/>
          <w:sz w:val="32"/>
          <w:szCs w:val="32"/>
        </w:rPr>
      </w:pPr>
      <w:r>
        <w:rPr>
          <w:rFonts w:hint="eastAsia" w:ascii="黑体" w:hAnsi="黑体" w:eastAsia="黑体" w:cs="黑体"/>
          <w:kern w:val="0"/>
          <w:sz w:val="32"/>
          <w:szCs w:val="32"/>
        </w:rPr>
        <w:t>七、一般公共预算财政拨款“三公”经费支出决算情况说明</w:t>
      </w:r>
    </w:p>
    <w:p>
      <w:pPr>
        <w:autoSpaceDE w:val="0"/>
        <w:autoSpaceDN w:val="0"/>
        <w:adjustRightInd w:val="0"/>
        <w:spacing w:line="540" w:lineRule="exact"/>
        <w:ind w:firstLine="643" w:firstLineChars="200"/>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（一）“三公”经费一般公共预算财政拨款支出决算总体情况说明。</w:t>
      </w:r>
    </w:p>
    <w:p>
      <w:pPr>
        <w:rPr>
          <w:rFonts w:ascii="宋体" w:hAnsi="宋体" w:cs="Arial"/>
          <w:kern w:val="0"/>
          <w:sz w:val="22"/>
          <w:szCs w:val="22"/>
        </w:rPr>
      </w:pPr>
      <w:r>
        <w:rPr>
          <w:rFonts w:hint="eastAsia" w:ascii="仿宋_GB2312" w:hAnsi="仿宋_GB2312" w:eastAsia="仿宋_GB2312" w:cs="仿宋_GB2312"/>
          <w:kern w:val="0"/>
          <w:sz w:val="32"/>
          <w:szCs w:val="32"/>
        </w:rPr>
        <w:t>2019年度“三公”经费一般公共预算财政拨款支出年初预算为3,790,000.00元，支出决算为2,795,523.60元，完成年初预算的73.76</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。与上年相比，减少</w:t>
      </w:r>
      <w:r>
        <w:rPr>
          <w:rFonts w:ascii="仿宋_GB2312" w:hAnsi="仿宋_GB2312" w:eastAsia="仿宋_GB2312" w:cs="仿宋_GB2312"/>
          <w:kern w:val="0"/>
          <w:sz w:val="32"/>
          <w:szCs w:val="32"/>
        </w:rPr>
        <w:t>128,453.25</w:t>
      </w:r>
      <w:r>
        <w:rPr>
          <w:rFonts w:hint="eastAsia" w:ascii="仿宋_GB2312" w:hAnsi="仿宋_GB2312" w:eastAsia="仿宋_GB2312" w:cs="仿宋_GB2312"/>
          <w:kern w:val="0"/>
          <w:sz w:val="32"/>
          <w:szCs w:val="32"/>
        </w:rPr>
        <w:t>元，下降4.39</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，决算数小于年初预算数的主要原因是三公经费支出控制在预算范围之内。</w:t>
      </w:r>
    </w:p>
    <w:p>
      <w:pPr>
        <w:pStyle w:val="8"/>
        <w:numPr>
          <w:ilvl w:val="0"/>
          <w:numId w:val="3"/>
        </w:numPr>
        <w:spacing w:line="540" w:lineRule="exact"/>
        <w:ind w:firstLine="643" w:firstLineChars="200"/>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“三公”经费一般公共预算财政拨款支出决算具体情况说明。</w:t>
      </w:r>
    </w:p>
    <w:p>
      <w:pPr>
        <w:pStyle w:val="8"/>
        <w:spacing w:line="54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2019年度“三公”经费一般公共预算财政拨款支出决算中，因公出国（境）费支出占0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；公务用车购置及运行费支出占99.1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；公务接待费支出占0.9</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。具体情况如下：</w:t>
      </w:r>
    </w:p>
    <w:p>
      <w:pPr>
        <w:pStyle w:val="8"/>
        <w:spacing w:line="540" w:lineRule="exact"/>
        <w:ind w:firstLine="630" w:firstLineChars="196"/>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rPr>
        <w:t>因公出国（境）费。</w:t>
      </w:r>
      <w:r>
        <w:rPr>
          <w:rFonts w:hint="eastAsia" w:ascii="仿宋_GB2312" w:hAnsi="仿宋_GB2312" w:eastAsia="仿宋_GB2312" w:cs="仿宋_GB2312"/>
          <w:color w:val="auto"/>
          <w:sz w:val="32"/>
          <w:szCs w:val="32"/>
        </w:rPr>
        <w:t>年初预算为0</w:t>
      </w:r>
      <w:r>
        <w:rPr>
          <w:rFonts w:hint="eastAsia" w:ascii="仿宋_GB2312" w:hAnsi="仿宋_GB2312" w:eastAsia="仿宋_GB2312" w:cs="仿宋_GB2312"/>
          <w:sz w:val="32"/>
          <w:szCs w:val="32"/>
        </w:rPr>
        <w:t>元，支出决算为0元，完成年初预算的0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；比上年减少（增加）0元，下降（增长）0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。全年</w:t>
      </w:r>
      <w:r>
        <w:rPr>
          <w:rFonts w:hint="eastAsia" w:ascii="仿宋_GB2312" w:hAnsi="仿宋_GB2312" w:eastAsia="仿宋_GB2312" w:cs="仿宋_GB2312"/>
          <w:color w:val="auto"/>
          <w:sz w:val="32"/>
          <w:szCs w:val="32"/>
        </w:rPr>
        <w:t>因公出国（境）团组数0个，因公出国（境）人次数0人。</w:t>
      </w:r>
    </w:p>
    <w:p>
      <w:pPr>
        <w:autoSpaceDE w:val="0"/>
        <w:autoSpaceDN w:val="0"/>
        <w:adjustRightInd w:val="0"/>
        <w:spacing w:line="540" w:lineRule="exact"/>
        <w:ind w:firstLine="630" w:firstLineChars="196"/>
        <w:jc w:val="left"/>
        <w:rPr>
          <w:rFonts w:ascii="仿宋_GB2312" w:hAnsi="仿宋_GB2312" w:eastAsia="仿宋_GB2312" w:cs="仿宋_GB2312"/>
          <w:kern w:val="0"/>
          <w:sz w:val="32"/>
          <w:szCs w:val="32"/>
        </w:rPr>
      </w:pPr>
      <w:r>
        <w:rPr>
          <w:rFonts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rPr>
        <w:t>公务用车购置及运行维护费。</w:t>
      </w:r>
      <w:r>
        <w:rPr>
          <w:rFonts w:hint="eastAsia" w:ascii="仿宋_GB2312" w:hAnsi="仿宋_GB2312" w:eastAsia="仿宋_GB2312" w:cs="仿宋_GB2312"/>
          <w:kern w:val="0"/>
          <w:sz w:val="32"/>
          <w:szCs w:val="32"/>
        </w:rPr>
        <w:t>年初预算</w:t>
      </w:r>
      <w:r>
        <w:rPr>
          <w:rFonts w:ascii="仿宋_GB2312" w:hAnsi="仿宋_GB2312" w:eastAsia="仿宋_GB2312" w:cs="仿宋_GB2312"/>
          <w:kern w:val="0"/>
          <w:sz w:val="32"/>
          <w:szCs w:val="32"/>
        </w:rPr>
        <w:t>3,720,000.00</w:t>
      </w:r>
      <w:r>
        <w:rPr>
          <w:rFonts w:hint="eastAsia" w:ascii="仿宋_GB2312" w:hAnsi="仿宋_GB2312" w:eastAsia="仿宋_GB2312" w:cs="仿宋_GB2312"/>
          <w:kern w:val="0"/>
          <w:sz w:val="32"/>
          <w:szCs w:val="32"/>
        </w:rPr>
        <w:t>元，支出决算为</w:t>
      </w:r>
      <w:r>
        <w:rPr>
          <w:rFonts w:ascii="仿宋_GB2312" w:hAnsi="仿宋_GB2312" w:eastAsia="仿宋_GB2312" w:cs="仿宋_GB2312"/>
          <w:kern w:val="0"/>
          <w:sz w:val="32"/>
          <w:szCs w:val="32"/>
        </w:rPr>
        <w:t>2,772,701.60</w:t>
      </w:r>
      <w:r>
        <w:rPr>
          <w:rFonts w:hint="eastAsia" w:ascii="仿宋_GB2312" w:hAnsi="仿宋_GB2312" w:eastAsia="仿宋_GB2312" w:cs="仿宋_GB2312"/>
          <w:kern w:val="0"/>
          <w:sz w:val="32"/>
          <w:szCs w:val="32"/>
        </w:rPr>
        <w:t>元，完成年初预算的74.5</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；比上年减少</w:t>
      </w:r>
      <w:r>
        <w:rPr>
          <w:rFonts w:ascii="仿宋_GB2312" w:hAnsi="仿宋_GB2312" w:eastAsia="仿宋_GB2312" w:cs="仿宋_GB2312"/>
          <w:kern w:val="0"/>
          <w:sz w:val="32"/>
          <w:szCs w:val="32"/>
        </w:rPr>
        <w:t>142,900.25</w:t>
      </w:r>
      <w:r>
        <w:rPr>
          <w:rFonts w:hint="eastAsia" w:ascii="仿宋_GB2312" w:hAnsi="仿宋_GB2312" w:eastAsia="仿宋_GB2312" w:cs="仿宋_GB2312"/>
          <w:kern w:val="0"/>
          <w:sz w:val="32"/>
          <w:szCs w:val="32"/>
        </w:rPr>
        <w:t>元，下降4.9</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。决算数小于（大于）年初预算数的主要原因是车辆燃油费实行一车一卡制度。其中：公务用车购置费支出为1,282,600.00元，公务用车运行维护费支出</w:t>
      </w:r>
      <w:r>
        <w:rPr>
          <w:rFonts w:ascii="仿宋_GB2312" w:hAnsi="仿宋_GB2312" w:eastAsia="仿宋_GB2312" w:cs="仿宋_GB2312"/>
          <w:kern w:val="0"/>
          <w:sz w:val="32"/>
          <w:szCs w:val="32"/>
        </w:rPr>
        <w:t>1,490,101.60</w:t>
      </w:r>
      <w:r>
        <w:rPr>
          <w:rFonts w:hint="eastAsia" w:ascii="仿宋_GB2312" w:hAnsi="仿宋_GB2312" w:eastAsia="仿宋_GB2312" w:cs="仿宋_GB2312"/>
          <w:kern w:val="0"/>
          <w:sz w:val="32"/>
          <w:szCs w:val="32"/>
        </w:rPr>
        <w:t>元，主要用于车辆燃油费、保险费及车辆维护维修费等。一般公共预算财政拨款开支的公务用车购置数10辆，公务用车保有量为53辆。</w:t>
      </w:r>
    </w:p>
    <w:p>
      <w:pPr>
        <w:autoSpaceDE w:val="0"/>
        <w:autoSpaceDN w:val="0"/>
        <w:adjustRightInd w:val="0"/>
        <w:spacing w:line="540" w:lineRule="exact"/>
        <w:ind w:firstLine="630" w:firstLineChars="196"/>
        <w:jc w:val="left"/>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rPr>
        <w:t>公务接待费。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70,000.00</w:t>
      </w:r>
      <w:r>
        <w:rPr>
          <w:rFonts w:hint="eastAsia" w:ascii="仿宋_GB2312" w:hAnsi="仿宋_GB2312" w:eastAsia="仿宋_GB2312" w:cs="仿宋_GB2312"/>
          <w:kern w:val="0"/>
          <w:sz w:val="32"/>
          <w:szCs w:val="32"/>
        </w:rPr>
        <w:t>元，支出决算为22,822.00元，完成年初预算的32.6</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；比上年增加</w:t>
      </w:r>
      <w:r>
        <w:rPr>
          <w:rFonts w:ascii="仿宋_GB2312" w:hAnsi="仿宋_GB2312" w:eastAsia="仿宋_GB2312" w:cs="仿宋_GB2312"/>
          <w:kern w:val="0"/>
          <w:sz w:val="32"/>
          <w:szCs w:val="32"/>
        </w:rPr>
        <w:t>14,447.00</w:t>
      </w:r>
      <w:r>
        <w:rPr>
          <w:rFonts w:hint="eastAsia" w:ascii="仿宋_GB2312" w:hAnsi="仿宋_GB2312" w:eastAsia="仿宋_GB2312" w:cs="仿宋_GB2312"/>
          <w:kern w:val="0"/>
          <w:sz w:val="32"/>
          <w:szCs w:val="32"/>
        </w:rPr>
        <w:t>元，增长63.3</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小于年初预算数的主要原因是接待费控制在预算范围之内。其中：国内接待费支出22,822.00元，主要用于接待其他单位人员。国（境）外接待费支出0元。全年国内公务接待批次21个，国内公务接待人次609人，国（境）外公务接待批次0个，国（境）外公务接待人次0人。</w:t>
      </w:r>
    </w:p>
    <w:p>
      <w:pPr>
        <w:spacing w:line="540" w:lineRule="exact"/>
        <w:outlineLvl w:val="1"/>
        <w:rPr>
          <w:rFonts w:ascii="黑体" w:hAnsi="黑体" w:eastAsia="黑体" w:cs="Times New Roman"/>
          <w:kern w:val="0"/>
          <w:sz w:val="32"/>
          <w:szCs w:val="32"/>
        </w:rPr>
      </w:pPr>
      <w:r>
        <w:rPr>
          <w:rFonts w:hint="eastAsia" w:ascii="黑体" w:hAnsi="黑体" w:eastAsia="黑体" w:cs="黑体"/>
          <w:kern w:val="0"/>
          <w:sz w:val="32"/>
          <w:szCs w:val="32"/>
        </w:rPr>
        <w:t xml:space="preserve">    八、政府性基金预算财政拨款收入支出决算情况说明</w:t>
      </w:r>
    </w:p>
    <w:p>
      <w:pPr>
        <w:pStyle w:val="8"/>
        <w:spacing w:line="540" w:lineRule="exact"/>
        <w:ind w:firstLine="640" w:firstLineChars="200"/>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2019年度政府性基金预算财政拨款年初结转和结余0元，本年收入0元，本年支出0元，年末结转和结余0元，较上年决算数增加（减少）0元，增长（下降）0</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p>
    <w:p>
      <w:pPr>
        <w:spacing w:line="540" w:lineRule="exact"/>
        <w:outlineLvl w:val="1"/>
        <w:rPr>
          <w:rFonts w:ascii="黑体" w:hAnsi="黑体" w:eastAsia="黑体" w:cs="Times New Roman"/>
          <w:kern w:val="0"/>
          <w:sz w:val="32"/>
          <w:szCs w:val="32"/>
        </w:rPr>
      </w:pPr>
      <w:r>
        <w:rPr>
          <w:rFonts w:hint="eastAsia" w:ascii="黑体" w:hAnsi="黑体" w:eastAsia="黑体" w:cs="黑体"/>
          <w:kern w:val="0"/>
          <w:sz w:val="32"/>
          <w:szCs w:val="32"/>
        </w:rPr>
        <w:t xml:space="preserve">    九、其他重要事项的情况说明</w:t>
      </w:r>
    </w:p>
    <w:p>
      <w:pPr>
        <w:numPr>
          <w:ilvl w:val="0"/>
          <w:numId w:val="4"/>
        </w:numPr>
        <w:spacing w:line="540" w:lineRule="exact"/>
        <w:ind w:firstLine="643" w:firstLineChars="200"/>
        <w:outlineLvl w:val="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机关运行经费支出情况说明（此数据应与部门决算中行政单位和参照公务员法管理事业单位的一般公共预算财政拨款基本支出中公用经费之和进行核对）</w:t>
      </w:r>
    </w:p>
    <w:p>
      <w:pPr>
        <w:spacing w:line="540" w:lineRule="exact"/>
        <w:ind w:firstLine="640" w:firstLineChars="200"/>
        <w:outlineLvl w:val="1"/>
        <w:rPr>
          <w:rFonts w:ascii="仿宋_GB2312" w:hAnsi="仿宋_GB2312" w:eastAsia="仿宋_GB2312" w:cs="Times New Roman"/>
          <w:color w:val="FF0000"/>
          <w:kern w:val="0"/>
          <w:sz w:val="32"/>
          <w:szCs w:val="32"/>
        </w:rPr>
      </w:pPr>
      <w:r>
        <w:rPr>
          <w:rFonts w:hint="eastAsia" w:ascii="仿宋_GB2312" w:hAnsi="仿宋_GB2312" w:eastAsia="仿宋_GB2312" w:cs="仿宋_GB2312"/>
          <w:kern w:val="0"/>
          <w:sz w:val="32"/>
          <w:szCs w:val="32"/>
        </w:rPr>
        <w:t>2019年度本部门机关运行经费年初预算为6,860,000.00元，支出决算为</w:t>
      </w:r>
      <w:r>
        <w:rPr>
          <w:rFonts w:ascii="仿宋_GB2312" w:hAnsi="仿宋_GB2312" w:eastAsia="仿宋_GB2312" w:cs="仿宋_GB2312"/>
          <w:kern w:val="0"/>
          <w:sz w:val="32"/>
          <w:szCs w:val="32"/>
        </w:rPr>
        <w:t>7,689,626.67</w:t>
      </w:r>
      <w:r>
        <w:rPr>
          <w:rFonts w:hint="eastAsia" w:ascii="仿宋_GB2312" w:hAnsi="仿宋_GB2312" w:eastAsia="仿宋_GB2312" w:cs="仿宋_GB2312"/>
          <w:kern w:val="0"/>
          <w:sz w:val="32"/>
          <w:szCs w:val="32"/>
        </w:rPr>
        <w:t>元，完成年初预算的112.09</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；比上年减少</w:t>
      </w:r>
      <w:r>
        <w:rPr>
          <w:rFonts w:ascii="仿宋_GB2312" w:hAnsi="仿宋_GB2312" w:eastAsia="仿宋_GB2312" w:cs="仿宋_GB2312"/>
          <w:kern w:val="0"/>
          <w:sz w:val="32"/>
          <w:szCs w:val="32"/>
        </w:rPr>
        <w:t>8,674,769.24</w:t>
      </w:r>
      <w:r>
        <w:rPr>
          <w:rFonts w:hint="eastAsia" w:ascii="仿宋_GB2312" w:hAnsi="仿宋_GB2312" w:eastAsia="仿宋_GB2312" w:cs="仿宋_GB2312"/>
          <w:kern w:val="0"/>
          <w:sz w:val="32"/>
          <w:szCs w:val="32"/>
        </w:rPr>
        <w:t>元，下降112.8</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hint="eastAsia" w:ascii="仿宋_GB2312" w:hAnsi="宋体" w:eastAsia="仿宋_GB2312" w:cs="仿宋_GB2312"/>
          <w:sz w:val="32"/>
          <w:szCs w:val="32"/>
        </w:rPr>
        <w:t>主要原因是上年基本支出人员经费在2019年预算时列为项目资金</w:t>
      </w:r>
      <w:r>
        <w:rPr>
          <w:rFonts w:hint="eastAsia" w:ascii="仿宋_GB2312" w:hAnsi="仿宋_GB2312" w:eastAsia="仿宋_GB2312" w:cs="仿宋_GB2312"/>
          <w:kern w:val="0"/>
          <w:sz w:val="32"/>
          <w:szCs w:val="32"/>
        </w:rPr>
        <w:t>。</w:t>
      </w:r>
    </w:p>
    <w:p>
      <w:pPr>
        <w:spacing w:line="540" w:lineRule="exact"/>
        <w:ind w:firstLine="643" w:firstLineChars="200"/>
        <w:outlineLvl w:val="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（二）府采购情况说明</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2019年度本部门政府采购预算0元，支出决算总额0元，完成年初预算的0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。其中：政府采购货物预算0元，支出决算总额0元，完成年初预算的。政府采购工程预算0元，支出决算总额0元，完成年初预算的0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。政府采购服务预算0元，支出决算总额0元，完成年初预算的0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p>
    <w:p>
      <w:pPr>
        <w:spacing w:line="540" w:lineRule="exact"/>
        <w:ind w:firstLine="643" w:firstLineChars="200"/>
        <w:outlineLvl w:val="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（三）国有资产占有使用情况说明</w:t>
      </w:r>
    </w:p>
    <w:p>
      <w:pPr>
        <w:widowControl/>
        <w:spacing w:line="54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截至2019年</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31</w:t>
      </w:r>
      <w:r>
        <w:rPr>
          <w:rFonts w:hint="eastAsia" w:ascii="仿宋_GB2312" w:hAnsi="仿宋_GB2312" w:eastAsia="仿宋_GB2312" w:cs="仿宋_GB2312"/>
          <w:kern w:val="0"/>
          <w:sz w:val="32"/>
          <w:szCs w:val="32"/>
        </w:rPr>
        <w:t>日，本部门（单位）房屋面积22892.98平方米，共有车辆53辆，均为执法执勤车辆；单价</w:t>
      </w:r>
      <w:r>
        <w:rPr>
          <w:rFonts w:ascii="仿宋_GB2312" w:hAnsi="仿宋_GB2312" w:eastAsia="仿宋_GB2312" w:cs="仿宋_GB2312"/>
          <w:kern w:val="0"/>
          <w:sz w:val="32"/>
          <w:szCs w:val="32"/>
        </w:rPr>
        <w:t>50</w:t>
      </w:r>
      <w:r>
        <w:rPr>
          <w:rFonts w:hint="eastAsia" w:ascii="仿宋_GB2312" w:hAnsi="仿宋_GB2312" w:eastAsia="仿宋_GB2312" w:cs="仿宋_GB2312"/>
          <w:kern w:val="0"/>
          <w:sz w:val="32"/>
          <w:szCs w:val="32"/>
        </w:rPr>
        <w:t>万元以上通用设备5台（套），单价</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万元（含）以上专用设备0台（套）。</w:t>
      </w:r>
    </w:p>
    <w:p>
      <w:pPr>
        <w:spacing w:line="540" w:lineRule="exact"/>
        <w:ind w:firstLine="643" w:firstLineChars="200"/>
        <w:outlineLvl w:val="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（四）预算绩效管理工作开展情况说明</w:t>
      </w:r>
    </w:p>
    <w:p>
      <w:pPr>
        <w:widowControl/>
        <w:spacing w:line="540" w:lineRule="exact"/>
        <w:ind w:firstLine="482" w:firstLineChars="15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 </w:t>
      </w:r>
      <w:r>
        <w:rPr>
          <w:rFonts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rPr>
        <w:t>预算绩效管理工作开展情况。</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根据财政预算管理要求，西吉县公安局组织对</w:t>
      </w:r>
      <w:r>
        <w:rPr>
          <w:rFonts w:ascii="仿宋" w:hAnsi="仿宋" w:eastAsia="仿宋"/>
          <w:sz w:val="32"/>
          <w:szCs w:val="32"/>
        </w:rPr>
        <w:t>201</w:t>
      </w:r>
      <w:r>
        <w:rPr>
          <w:rFonts w:hint="eastAsia" w:ascii="仿宋" w:hAnsi="仿宋" w:eastAsia="仿宋"/>
          <w:sz w:val="32"/>
          <w:szCs w:val="32"/>
        </w:rPr>
        <w:t>9年度一般公共预算项目支出全面开展绩效自评。其中，一级项目1个，二级项目1个，共涉及预算资金</w:t>
      </w:r>
      <w:r>
        <w:rPr>
          <w:rFonts w:ascii="仿宋_GB2312" w:hAnsi="宋体" w:eastAsia="仿宋_GB2312" w:cs="仿宋_GB2312"/>
          <w:sz w:val="32"/>
          <w:szCs w:val="32"/>
        </w:rPr>
        <w:t>116,584,375.86</w:t>
      </w:r>
      <w:r>
        <w:rPr>
          <w:rFonts w:hint="eastAsia" w:ascii="仿宋" w:hAnsi="仿宋" w:eastAsia="仿宋"/>
          <w:sz w:val="32"/>
          <w:szCs w:val="32"/>
        </w:rPr>
        <w:t>元，自评覆盖率达到100</w:t>
      </w:r>
      <w:r>
        <w:rPr>
          <w:rFonts w:ascii="仿宋" w:hAnsi="仿宋" w:eastAsia="仿宋"/>
          <w:sz w:val="32"/>
          <w:szCs w:val="32"/>
        </w:rPr>
        <w:t>%</w:t>
      </w:r>
      <w:r>
        <w:rPr>
          <w:rFonts w:hint="eastAsia" w:ascii="仿宋" w:hAnsi="仿宋" w:eastAsia="仿宋"/>
          <w:sz w:val="32"/>
          <w:szCs w:val="32"/>
        </w:rPr>
        <w:t>。共组织对中央转移支付办案费、中央转移支付装备资金、拘押收教场所资金、禁毒管理项目资金4个项目开展了重点绩效评价，涉及一般公共预算支出</w:t>
      </w:r>
      <w:r>
        <w:rPr>
          <w:rFonts w:ascii="仿宋_GB2312" w:hAnsi="宋体" w:eastAsia="仿宋_GB2312" w:cs="仿宋_GB2312"/>
          <w:sz w:val="32"/>
          <w:szCs w:val="32"/>
        </w:rPr>
        <w:t>116,584,375.86</w:t>
      </w:r>
      <w:r>
        <w:rPr>
          <w:rFonts w:hint="eastAsia" w:ascii="仿宋" w:hAnsi="仿宋" w:eastAsia="仿宋"/>
          <w:sz w:val="32"/>
          <w:szCs w:val="32"/>
        </w:rPr>
        <w:t>元，政府性基金预算支出0元。其中，行政运行项目资金：主要为单位基本支出，预算包括公安人干警员经费及公安业务日常公用开支,使公安队伍正规化、职业化水平不断提高，有力支撑公安工作和队伍建设科学发展。</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sz w:val="32"/>
          <w:szCs w:val="32"/>
        </w:rPr>
        <w:t>禁毒管理项目资金:做好戒毒康复人员就业安置工作既是一项平安工程、也是一项民心工程，事关民生福祉，事关社会稳定。大力加强社</w:t>
      </w:r>
      <w:r>
        <w:rPr>
          <w:rFonts w:hint="eastAsia" w:ascii="仿宋" w:hAnsi="仿宋" w:eastAsia="仿宋" w:cs="宋体"/>
          <w:kern w:val="0"/>
          <w:sz w:val="32"/>
          <w:szCs w:val="32"/>
        </w:rPr>
        <w:t>区戒毒（康复）工作，事关禁毒工作全局，事关社会和谐稳定，事关人民安居乐业，对于深入推进禁毒人民战争、实现禁毒斗争形势持续好转具有重要意义。</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反恐怖项目资金：针对极端宗教等敌对势力、敌对组织和敌对分子，在民族宗教、涉科及其他特殊领域，运用专门力量和手段，开展情报信息、专案侦察和防范保卫工作。</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网络运行及维护项目资金：随着社会经济的发展，犯罪分子向智能化、科技化、专业化的方向转变，给治安防范和打击工作提出了更高的要求。从技术防范的实践来看，视频监控系统作为人力防范和实体防范的功能延伸，通过依托专业化管理的队伍，能有效遏制犯罪率、提升破案。视频监控作为一种传统视频与现代通信技术相结合的高效技防手段，不仅能够忠实地记录还原现场，而且其远程控制、海量数据储存等特点，为公安机关实施精确打击，开展侦查破案提供了及时、有力、高效的保障。</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道路交通管理项目资金：结合全区公安交通管理工作要求，建设完成交通服务管理平台，加强社会管理，对于依法查处道路交通违法行为和交通事故；维护城乡道路交通秩序；开展机动车辆安全检测、牌证发放和驾驶员考核发证工作；开展道路交通安全宣传教育活动；道路交通管理科研工作；参与城市建设、道路交通；维护正常交通秩序，保证交通运输的畅通与安全具有重要意义。</w:t>
      </w:r>
    </w:p>
    <w:p>
      <w:pPr>
        <w:numPr>
          <w:ilvl w:val="0"/>
          <w:numId w:val="5"/>
        </w:numPr>
        <w:snapToGrid w:val="0"/>
        <w:spacing w:line="52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以部门为主体开展的重点项目绩效评价结果</w:t>
      </w:r>
    </w:p>
    <w:p>
      <w:pPr>
        <w:snapToGrid w:val="0"/>
        <w:spacing w:line="520" w:lineRule="exact"/>
        <w:ind w:firstLine="480" w:firstLineChars="150"/>
        <w:rPr>
          <w:rFonts w:ascii="仿宋" w:hAnsi="仿宋" w:eastAsia="仿宋"/>
          <w:sz w:val="32"/>
          <w:szCs w:val="32"/>
        </w:rPr>
      </w:pPr>
      <w:r>
        <w:rPr>
          <w:rFonts w:hint="eastAsia" w:ascii="仿宋" w:hAnsi="仿宋" w:eastAsia="仿宋"/>
          <w:sz w:val="32"/>
          <w:szCs w:val="32"/>
        </w:rPr>
        <w:t>（一）本单位财务管理、绩效管理、编报、审核情况。</w:t>
      </w:r>
    </w:p>
    <w:p>
      <w:pPr>
        <w:ind w:firstLine="640" w:firstLineChars="200"/>
        <w:rPr>
          <w:rFonts w:ascii="仿宋" w:hAnsi="仿宋" w:eastAsia="仿宋"/>
          <w:sz w:val="32"/>
          <w:szCs w:val="32"/>
        </w:rPr>
      </w:pPr>
      <w:r>
        <w:rPr>
          <w:rFonts w:hint="eastAsia" w:ascii="仿宋" w:hAnsi="仿宋" w:eastAsia="仿宋"/>
          <w:sz w:val="32"/>
          <w:szCs w:val="32"/>
        </w:rPr>
        <w:t>在财务管理方面，我单位规范财务制度，强化内控管理。认真贯彻执行</w:t>
      </w:r>
      <w:r>
        <w:rPr>
          <w:rFonts w:hint="eastAsia" w:ascii="仿宋" w:hAnsi="仿宋" w:eastAsia="仿宋"/>
          <w:sz w:val="32"/>
          <w:szCs w:val="32"/>
          <w:lang w:eastAsia="zh-CN"/>
        </w:rPr>
        <w:t>中央八项规定精神</w:t>
      </w:r>
      <w:r>
        <w:rPr>
          <w:rFonts w:hint="eastAsia" w:ascii="仿宋" w:hAnsi="仿宋" w:eastAsia="仿宋"/>
          <w:sz w:val="32"/>
          <w:szCs w:val="32"/>
        </w:rPr>
        <w:t>和财政、财务制度，严格控制“三公”经费等一般性支出，积极推行事前报告制度和重大事项集体决算制度，抓好日常经费核销和会计核算工作。结合内控制度建设要求，制定了《西吉县公安局工会经费收支管理办法》、《西吉县公安局特别业务费管理办法》、</w:t>
      </w:r>
      <w:r>
        <w:rPr>
          <w:rFonts w:hint="eastAsia" w:ascii="仿宋" w:hAnsi="仿宋" w:eastAsia="仿宋"/>
          <w:sz w:val="32"/>
          <w:szCs w:val="32"/>
          <w:shd w:val="clear" w:color="auto" w:fill="FFFFFF"/>
        </w:rPr>
        <w:t>《西吉县公安局票据管理制度》、《西吉县公安局基本建设财务管理办法》、《西吉县公安局合同管理制度》、《西吉县公安局预算管理办法》</w:t>
      </w:r>
      <w:r>
        <w:rPr>
          <w:rFonts w:hint="eastAsia" w:ascii="仿宋" w:hAnsi="仿宋" w:eastAsia="仿宋"/>
          <w:sz w:val="32"/>
          <w:szCs w:val="32"/>
        </w:rPr>
        <w:t>等六项制度。</w:t>
      </w:r>
    </w:p>
    <w:p>
      <w:pPr>
        <w:ind w:firstLine="640" w:firstLineChars="200"/>
        <w:rPr>
          <w:rFonts w:ascii="仿宋" w:hAnsi="仿宋" w:eastAsia="仿宋"/>
          <w:sz w:val="32"/>
          <w:szCs w:val="32"/>
        </w:rPr>
      </w:pPr>
      <w:r>
        <w:rPr>
          <w:rFonts w:hint="eastAsia" w:ascii="仿宋" w:hAnsi="仿宋" w:eastAsia="仿宋"/>
          <w:sz w:val="32"/>
          <w:szCs w:val="32"/>
        </w:rPr>
        <w:t>2019年度我单位加大对违法犯罪打击力度，全面构建立体化治安防控体系，延伸矛盾纠纷排查调解触角，不忘初心、牢记使命，锐意进取、砥砺前行，努力为全县夺取脱贫攻坚战营造良好社会治安环境。</w:t>
      </w:r>
    </w:p>
    <w:p>
      <w:pPr>
        <w:numPr>
          <w:ilvl w:val="0"/>
          <w:numId w:val="6"/>
        </w:num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本单位决算公开工作、主管部门对所属单位按规定批复决算工作开展情况。</w:t>
      </w:r>
    </w:p>
    <w:p>
      <w:pPr>
        <w:snapToGrid w:val="0"/>
        <w:spacing w:line="520" w:lineRule="exact"/>
        <w:rPr>
          <w:rFonts w:ascii="仿宋" w:hAnsi="仿宋" w:eastAsia="仿宋"/>
          <w:sz w:val="32"/>
          <w:szCs w:val="32"/>
        </w:rPr>
      </w:pPr>
      <w:r>
        <w:rPr>
          <w:rFonts w:hint="eastAsia" w:ascii="仿宋" w:hAnsi="仿宋" w:eastAsia="仿宋"/>
          <w:sz w:val="32"/>
          <w:szCs w:val="32"/>
        </w:rPr>
        <w:t xml:space="preserve">     每年我单位按照县财政局决算公开的要求，提前做好决算公开文字及表格的起草、填报等工作准备，将部门决算统一在西吉县人民政府网站集中公开，主管财政部门对我单位按照相关规定及时批复决算工作。</w:t>
      </w:r>
    </w:p>
    <w:p>
      <w:pPr>
        <w:spacing w:line="540" w:lineRule="exact"/>
        <w:outlineLvl w:val="1"/>
        <w:rPr>
          <w:rFonts w:ascii="仿宋_GB2312" w:hAnsi="宋体" w:eastAsia="仿宋_GB2312" w:cs="Times New Roman"/>
          <w:kern w:val="0"/>
          <w:sz w:val="32"/>
          <w:szCs w:val="32"/>
        </w:rPr>
      </w:pPr>
    </w:p>
    <w:p>
      <w:pPr>
        <w:spacing w:line="540" w:lineRule="exact"/>
        <w:ind w:firstLine="431" w:firstLineChars="98"/>
        <w:jc w:val="center"/>
        <w:outlineLvl w:val="1"/>
        <w:rPr>
          <w:rFonts w:ascii="方正小标宋_GBK" w:hAnsi="宋体" w:eastAsia="方正小标宋_GBK" w:cs="Times New Roman"/>
          <w:kern w:val="0"/>
          <w:sz w:val="44"/>
          <w:szCs w:val="44"/>
        </w:rPr>
      </w:pPr>
    </w:p>
    <w:p>
      <w:pPr>
        <w:spacing w:line="540" w:lineRule="exact"/>
        <w:ind w:firstLine="431" w:firstLineChars="98"/>
        <w:jc w:val="center"/>
        <w:outlineLvl w:val="1"/>
        <w:rPr>
          <w:rFonts w:ascii="方正小标宋_GBK" w:hAnsi="宋体" w:eastAsia="方正小标宋_GBK" w:cs="Times New Roman"/>
          <w:kern w:val="0"/>
          <w:sz w:val="44"/>
          <w:szCs w:val="44"/>
        </w:rPr>
      </w:pPr>
      <w:r>
        <w:rPr>
          <w:rFonts w:hint="eastAsia" w:ascii="方正小标宋_GBK" w:hAnsi="宋体" w:eastAsia="方正小标宋_GBK" w:cs="方正小标宋_GBK"/>
          <w:kern w:val="0"/>
          <w:sz w:val="44"/>
          <w:szCs w:val="44"/>
        </w:rPr>
        <w:t>第四部分名词解释</w:t>
      </w:r>
    </w:p>
    <w:p>
      <w:pPr>
        <w:widowControl/>
        <w:spacing w:line="560" w:lineRule="exact"/>
        <w:ind w:firstLine="480"/>
        <w:jc w:val="left"/>
        <w:rPr>
          <w:rFonts w:ascii="仿宋_GB2312" w:hAnsi="宋体" w:eastAsia="仿宋_GB2312" w:cs="仿宋_GB2312"/>
          <w:kern w:val="0"/>
          <w:sz w:val="32"/>
          <w:szCs w:val="32"/>
        </w:rPr>
      </w:pPr>
    </w:p>
    <w:p>
      <w:pPr>
        <w:widowControl/>
        <w:spacing w:line="560" w:lineRule="exact"/>
        <w:ind w:firstLine="480"/>
        <w:jc w:val="left"/>
        <w:rPr>
          <w:rFonts w:ascii="仿宋" w:hAnsi="仿宋" w:eastAsia="仿宋"/>
          <w:kern w:val="0"/>
          <w:sz w:val="32"/>
          <w:szCs w:val="32"/>
        </w:rPr>
      </w:pPr>
      <w:r>
        <w:rPr>
          <w:rFonts w:hint="eastAsia" w:ascii="仿宋" w:hAnsi="仿宋" w:eastAsia="仿宋"/>
          <w:b/>
          <w:kern w:val="0"/>
          <w:sz w:val="32"/>
          <w:szCs w:val="32"/>
        </w:rPr>
        <w:t>1、一般公共预算拨款收入：</w:t>
      </w:r>
      <w:r>
        <w:rPr>
          <w:rFonts w:hint="eastAsia" w:ascii="仿宋" w:hAnsi="仿宋" w:eastAsia="仿宋"/>
          <w:kern w:val="0"/>
          <w:sz w:val="32"/>
          <w:szCs w:val="32"/>
        </w:rPr>
        <w:t>指财政当年拨付的资金</w:t>
      </w:r>
    </w:p>
    <w:p>
      <w:pPr>
        <w:widowControl/>
        <w:spacing w:line="560" w:lineRule="exact"/>
        <w:ind w:firstLine="480"/>
        <w:jc w:val="left"/>
        <w:rPr>
          <w:rFonts w:ascii="仿宋" w:hAnsi="仿宋" w:eastAsia="仿宋"/>
          <w:kern w:val="0"/>
          <w:sz w:val="32"/>
          <w:szCs w:val="32"/>
        </w:rPr>
      </w:pPr>
      <w:r>
        <w:rPr>
          <w:rFonts w:hint="eastAsia" w:ascii="仿宋" w:hAnsi="仿宋" w:eastAsia="仿宋"/>
          <w:b/>
          <w:kern w:val="0"/>
          <w:sz w:val="32"/>
          <w:szCs w:val="32"/>
        </w:rPr>
        <w:t>2、基本支出：</w:t>
      </w:r>
      <w:r>
        <w:rPr>
          <w:rFonts w:hint="eastAsia" w:ascii="仿宋" w:hAnsi="仿宋" w:eastAsia="仿宋"/>
          <w:kern w:val="0"/>
          <w:sz w:val="32"/>
          <w:szCs w:val="32"/>
        </w:rPr>
        <w:t>指用于为保障机构正常运转、完成日常工作任务等方面的支出。</w:t>
      </w:r>
    </w:p>
    <w:p>
      <w:pPr>
        <w:widowControl/>
        <w:spacing w:line="560" w:lineRule="exact"/>
        <w:ind w:firstLine="480"/>
        <w:jc w:val="left"/>
        <w:rPr>
          <w:rFonts w:ascii="仿宋" w:hAnsi="仿宋" w:eastAsia="仿宋"/>
          <w:kern w:val="0"/>
          <w:sz w:val="32"/>
          <w:szCs w:val="32"/>
        </w:rPr>
      </w:pPr>
      <w:r>
        <w:rPr>
          <w:rFonts w:hint="eastAsia" w:ascii="仿宋" w:hAnsi="仿宋" w:eastAsia="仿宋"/>
          <w:b/>
          <w:kern w:val="0"/>
          <w:sz w:val="32"/>
          <w:szCs w:val="32"/>
        </w:rPr>
        <w:t>3、项目支出：</w:t>
      </w:r>
      <w:r>
        <w:rPr>
          <w:rFonts w:hint="eastAsia" w:ascii="仿宋" w:hAnsi="仿宋" w:eastAsia="仿宋"/>
          <w:kern w:val="0"/>
          <w:sz w:val="32"/>
          <w:szCs w:val="32"/>
        </w:rPr>
        <w:t>指为完成特定的行政工作任务或事业发展目标，用于专项业务工作等方面的支出。</w:t>
      </w:r>
    </w:p>
    <w:p>
      <w:pPr>
        <w:widowControl/>
        <w:spacing w:line="560" w:lineRule="exact"/>
        <w:ind w:firstLine="480"/>
        <w:jc w:val="left"/>
        <w:rPr>
          <w:rFonts w:ascii="方正小标宋_GBK" w:hAnsi="宋体" w:eastAsia="方正小标宋_GBK" w:cs="Times New Roman"/>
          <w:kern w:val="0"/>
          <w:sz w:val="44"/>
          <w:szCs w:val="44"/>
        </w:rPr>
      </w:pPr>
      <w:r>
        <w:rPr>
          <w:rFonts w:hint="eastAsia" w:ascii="仿宋" w:hAnsi="仿宋" w:eastAsia="仿宋"/>
          <w:b/>
          <w:kern w:val="0"/>
          <w:sz w:val="32"/>
          <w:szCs w:val="32"/>
        </w:rPr>
        <w:t>4、“三公”经费：</w:t>
      </w:r>
      <w:r>
        <w:rPr>
          <w:rFonts w:hint="eastAsia" w:ascii="仿宋" w:hAnsi="仿宋" w:eastAsia="仿宋"/>
          <w:kern w:val="0"/>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等支出；公务接待费反映单位按规定开支的各类公务接待（含外宾接待）支出。</w:t>
      </w:r>
    </w:p>
    <w:p>
      <w:pPr>
        <w:spacing w:line="540" w:lineRule="exact"/>
        <w:ind w:firstLine="431" w:firstLineChars="98"/>
        <w:jc w:val="center"/>
        <w:outlineLvl w:val="1"/>
        <w:rPr>
          <w:rFonts w:ascii="方正小标宋_GBK" w:hAnsi="宋体" w:eastAsia="方正小标宋_GBK" w:cs="Times New Roman"/>
          <w:kern w:val="0"/>
          <w:sz w:val="44"/>
          <w:szCs w:val="44"/>
        </w:rPr>
      </w:pPr>
    </w:p>
    <w:p>
      <w:pPr>
        <w:spacing w:line="540" w:lineRule="exact"/>
        <w:ind w:firstLine="431" w:firstLineChars="98"/>
        <w:jc w:val="center"/>
        <w:outlineLvl w:val="1"/>
        <w:rPr>
          <w:rFonts w:ascii="方正小标宋_GBK" w:hAnsi="宋体" w:eastAsia="方正小标宋_GBK" w:cs="Times New Roman"/>
          <w:kern w:val="0"/>
          <w:sz w:val="44"/>
          <w:szCs w:val="44"/>
        </w:rPr>
      </w:pPr>
      <w:r>
        <w:rPr>
          <w:rFonts w:hint="eastAsia" w:ascii="方正小标宋_GBK" w:hAnsi="宋体" w:eastAsia="方正小标宋_GBK" w:cs="方正小标宋_GBK"/>
          <w:kern w:val="0"/>
          <w:sz w:val="44"/>
          <w:szCs w:val="44"/>
        </w:rPr>
        <w:t>第五部分附件</w:t>
      </w:r>
    </w:p>
    <w:p>
      <w:pPr>
        <w:spacing w:line="540" w:lineRule="exact"/>
        <w:ind w:firstLine="640" w:firstLineChars="200"/>
        <w:outlineLvl w:val="1"/>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其他相关资料</w:t>
      </w:r>
    </w:p>
    <w:p>
      <w:pPr>
        <w:rPr>
          <w:rFonts w:cs="Times New Roman"/>
        </w:rPr>
      </w:pPr>
    </w:p>
    <w:p>
      <w:pPr>
        <w:widowControl/>
        <w:spacing w:line="540" w:lineRule="exact"/>
        <w:ind w:firstLine="480"/>
        <w:jc w:val="left"/>
        <w:rPr>
          <w:rFonts w:ascii="仿宋_GB2312" w:hAnsi="仿宋_GB2312" w:eastAsia="仿宋_GB2312" w:cs="Times New Roman"/>
          <w:kern w:val="0"/>
          <w:sz w:val="32"/>
          <w:szCs w:val="32"/>
        </w:rPr>
      </w:pPr>
    </w:p>
    <w:p>
      <w:pPr>
        <w:rPr>
          <w:rFonts w:cs="Times New Roman"/>
        </w:rPr>
      </w:pPr>
    </w:p>
    <w:p/>
    <w:p>
      <w:pPr>
        <w:spacing w:line="540" w:lineRule="exact"/>
        <w:outlineLvl w:val="1"/>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ehei">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D0DB8"/>
    <w:multiLevelType w:val="singleLevel"/>
    <w:tmpl w:val="5C4D0DB8"/>
    <w:lvl w:ilvl="0" w:tentative="0">
      <w:start w:val="2"/>
      <w:numFmt w:val="chineseCounting"/>
      <w:suff w:val="nothing"/>
      <w:lvlText w:val="（%1）"/>
      <w:lvlJc w:val="left"/>
    </w:lvl>
  </w:abstractNum>
  <w:abstractNum w:abstractNumId="1">
    <w:nsid w:val="5D37DE26"/>
    <w:multiLevelType w:val="singleLevel"/>
    <w:tmpl w:val="5D37DE26"/>
    <w:lvl w:ilvl="0" w:tentative="0">
      <w:start w:val="1"/>
      <w:numFmt w:val="decimal"/>
      <w:suff w:val="nothing"/>
      <w:lvlText w:val="%1."/>
      <w:lvlJc w:val="left"/>
    </w:lvl>
  </w:abstractNum>
  <w:abstractNum w:abstractNumId="2">
    <w:nsid w:val="5D37E025"/>
    <w:multiLevelType w:val="singleLevel"/>
    <w:tmpl w:val="5D37E025"/>
    <w:lvl w:ilvl="0" w:tentative="0">
      <w:start w:val="1"/>
      <w:numFmt w:val="chineseCounting"/>
      <w:suff w:val="nothing"/>
      <w:lvlText w:val="（%1）"/>
      <w:lvlJc w:val="left"/>
    </w:lvl>
  </w:abstractNum>
  <w:abstractNum w:abstractNumId="3">
    <w:nsid w:val="5D399328"/>
    <w:multiLevelType w:val="singleLevel"/>
    <w:tmpl w:val="5D399328"/>
    <w:lvl w:ilvl="0" w:tentative="0">
      <w:start w:val="2"/>
      <w:numFmt w:val="chineseCounting"/>
      <w:suff w:val="nothing"/>
      <w:lvlText w:val="（%1）"/>
      <w:lvlJc w:val="left"/>
    </w:lvl>
  </w:abstractNum>
  <w:abstractNum w:abstractNumId="4">
    <w:nsid w:val="5D39981E"/>
    <w:multiLevelType w:val="singleLevel"/>
    <w:tmpl w:val="5D39981E"/>
    <w:lvl w:ilvl="0" w:tentative="0">
      <w:start w:val="1"/>
      <w:numFmt w:val="chineseCounting"/>
      <w:suff w:val="nothing"/>
      <w:lvlText w:val="（%1）"/>
      <w:lvlJc w:val="left"/>
    </w:lvl>
  </w:abstractNum>
  <w:abstractNum w:abstractNumId="5">
    <w:nsid w:val="5D775A43"/>
    <w:multiLevelType w:val="singleLevel"/>
    <w:tmpl w:val="5D775A43"/>
    <w:lvl w:ilvl="0" w:tentative="0">
      <w:start w:val="2"/>
      <w:numFmt w:val="decimal"/>
      <w:suff w:val="nothing"/>
      <w:lvlText w:val="%1."/>
      <w:lvlJc w:val="left"/>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3ED2"/>
    <w:rsid w:val="000621CE"/>
    <w:rsid w:val="000A535F"/>
    <w:rsid w:val="000D4E7F"/>
    <w:rsid w:val="001567A2"/>
    <w:rsid w:val="001C51B4"/>
    <w:rsid w:val="001E7028"/>
    <w:rsid w:val="00203806"/>
    <w:rsid w:val="00203E31"/>
    <w:rsid w:val="00227137"/>
    <w:rsid w:val="00234D92"/>
    <w:rsid w:val="00263ADE"/>
    <w:rsid w:val="00267AC1"/>
    <w:rsid w:val="00283D2F"/>
    <w:rsid w:val="002B559B"/>
    <w:rsid w:val="002C3DF1"/>
    <w:rsid w:val="002D195E"/>
    <w:rsid w:val="00324E2B"/>
    <w:rsid w:val="00357E71"/>
    <w:rsid w:val="003D533F"/>
    <w:rsid w:val="0040359A"/>
    <w:rsid w:val="00413557"/>
    <w:rsid w:val="00434263"/>
    <w:rsid w:val="00444EC6"/>
    <w:rsid w:val="004745A0"/>
    <w:rsid w:val="004756BF"/>
    <w:rsid w:val="004A3BE5"/>
    <w:rsid w:val="00592DDA"/>
    <w:rsid w:val="00600F4D"/>
    <w:rsid w:val="0063211F"/>
    <w:rsid w:val="006376EF"/>
    <w:rsid w:val="00647C2F"/>
    <w:rsid w:val="00686E8F"/>
    <w:rsid w:val="006941DF"/>
    <w:rsid w:val="006A5D07"/>
    <w:rsid w:val="006B6479"/>
    <w:rsid w:val="006C435F"/>
    <w:rsid w:val="006E6CCF"/>
    <w:rsid w:val="007171B5"/>
    <w:rsid w:val="007227FE"/>
    <w:rsid w:val="007322AF"/>
    <w:rsid w:val="00755147"/>
    <w:rsid w:val="0076196A"/>
    <w:rsid w:val="00770CDD"/>
    <w:rsid w:val="00775BF6"/>
    <w:rsid w:val="00795907"/>
    <w:rsid w:val="007C02CB"/>
    <w:rsid w:val="007C671A"/>
    <w:rsid w:val="007D799C"/>
    <w:rsid w:val="007F466D"/>
    <w:rsid w:val="00804980"/>
    <w:rsid w:val="0082050B"/>
    <w:rsid w:val="00852518"/>
    <w:rsid w:val="00885379"/>
    <w:rsid w:val="008E0718"/>
    <w:rsid w:val="008E5C30"/>
    <w:rsid w:val="008F4696"/>
    <w:rsid w:val="0094142C"/>
    <w:rsid w:val="0094600A"/>
    <w:rsid w:val="00951E29"/>
    <w:rsid w:val="009B1C7F"/>
    <w:rsid w:val="009D375B"/>
    <w:rsid w:val="00A05D56"/>
    <w:rsid w:val="00A264B2"/>
    <w:rsid w:val="00A45333"/>
    <w:rsid w:val="00A55E03"/>
    <w:rsid w:val="00A646F6"/>
    <w:rsid w:val="00A92A6A"/>
    <w:rsid w:val="00AE0589"/>
    <w:rsid w:val="00AF4824"/>
    <w:rsid w:val="00B43327"/>
    <w:rsid w:val="00C617B6"/>
    <w:rsid w:val="00CA6070"/>
    <w:rsid w:val="00CB3ED2"/>
    <w:rsid w:val="00CC0D9E"/>
    <w:rsid w:val="00CE26D9"/>
    <w:rsid w:val="00D43665"/>
    <w:rsid w:val="00D7533F"/>
    <w:rsid w:val="00DA722D"/>
    <w:rsid w:val="00DB5C01"/>
    <w:rsid w:val="00DB639B"/>
    <w:rsid w:val="00DB6433"/>
    <w:rsid w:val="00DC1DDF"/>
    <w:rsid w:val="00DF30B9"/>
    <w:rsid w:val="00E277D5"/>
    <w:rsid w:val="00E33619"/>
    <w:rsid w:val="00E501A5"/>
    <w:rsid w:val="00EB6408"/>
    <w:rsid w:val="00EC27EF"/>
    <w:rsid w:val="00ED1971"/>
    <w:rsid w:val="00ED3C0F"/>
    <w:rsid w:val="00EF51E1"/>
    <w:rsid w:val="00F1463C"/>
    <w:rsid w:val="00F32E36"/>
    <w:rsid w:val="00F44BAB"/>
    <w:rsid w:val="00F767ED"/>
    <w:rsid w:val="00FD013A"/>
    <w:rsid w:val="137E1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2348</Words>
  <Characters>13389</Characters>
  <Lines>111</Lines>
  <Paragraphs>31</Paragraphs>
  <TotalTime>578</TotalTime>
  <ScaleCrop>false</ScaleCrop>
  <LinksUpToDate>false</LinksUpToDate>
  <CharactersWithSpaces>15706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2020-09-08T08:53:00Z</dcterms:created>
  <dc:creator>lenovo</dc:creator>
  <cp:lastModifiedBy>罵訫驣</cp:lastModifiedBy>
  <dcterms:modified xsi:type="dcterms:W3CDTF">2021-01-29T08:40:39Z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