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56"/>
          <w:szCs w:val="56"/>
        </w:rPr>
      </w:pPr>
      <w:r>
        <w:rPr>
          <w:rFonts w:hint="eastAsia" w:ascii="方正小标宋简体" w:hAnsi="方正小标宋简体" w:eastAsia="方正小标宋简体" w:cs="方正小标宋简体"/>
          <w:kern w:val="0"/>
          <w:sz w:val="56"/>
          <w:szCs w:val="56"/>
          <w:lang w:eastAsia="zh-CN"/>
        </w:rPr>
        <w:t>2019</w:t>
      </w:r>
      <w:r>
        <w:rPr>
          <w:rFonts w:hint="eastAsia" w:ascii="方正小标宋简体" w:hAnsi="方正小标宋简体" w:eastAsia="方正小标宋简体" w:cs="方正小标宋简体"/>
          <w:kern w:val="0"/>
          <w:sz w:val="56"/>
          <w:szCs w:val="56"/>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56"/>
          <w:szCs w:val="56"/>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56"/>
          <w:szCs w:val="56"/>
        </w:rPr>
      </w:pPr>
      <w:r>
        <w:rPr>
          <w:rFonts w:hint="eastAsia" w:ascii="方正小标宋简体" w:hAnsi="方正小标宋简体" w:eastAsia="方正小标宋简体" w:cs="方正小标宋简体"/>
          <w:kern w:val="0"/>
          <w:sz w:val="56"/>
          <w:szCs w:val="56"/>
          <w:lang w:eastAsia="zh-CN"/>
        </w:rPr>
        <w:t>西吉县供销合作社</w:t>
      </w:r>
      <w:r>
        <w:rPr>
          <w:rFonts w:hint="eastAsia" w:ascii="方正小标宋简体" w:hAnsi="方正小标宋简体" w:eastAsia="方正小标宋简体" w:cs="方正小标宋简体"/>
          <w:kern w:val="0"/>
          <w:sz w:val="56"/>
          <w:szCs w:val="56"/>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西吉县供销合作社</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ind w:firstLine="640"/>
        <w:jc w:val="left"/>
        <w:rPr>
          <w:rFonts w:ascii="仿宋_GB2312" w:hAnsi="宋体" w:eastAsia="仿宋_GB2312" w:cs="仿宋_GB2312"/>
          <w:kern w:val="0"/>
          <w:sz w:val="32"/>
          <w:szCs w:val="32"/>
        </w:rPr>
      </w:pPr>
      <w:r>
        <w:rPr>
          <w:rFonts w:hint="eastAsia" w:ascii="仿宋_GB2312" w:hAnsi="黑体" w:eastAsia="仿宋_GB2312" w:cs="宋体"/>
          <w:bCs/>
          <w:kern w:val="0"/>
          <w:sz w:val="32"/>
          <w:szCs w:val="32"/>
        </w:rPr>
        <w:t>本部门（单位）工作职能</w:t>
      </w:r>
      <w:r>
        <w:rPr>
          <w:rFonts w:hint="eastAsia" w:ascii="仿宋_GB2312" w:hAnsi="黑体" w:eastAsia="仿宋_GB2312" w:cs="宋体"/>
          <w:bCs/>
          <w:kern w:val="0"/>
          <w:sz w:val="32"/>
          <w:szCs w:val="32"/>
          <w:lang w:eastAsia="zh-CN"/>
        </w:rPr>
        <w:t>：为农业、农村和农民提供综合服务，引导和组织农民进入市场，发展农村现代流通，参与农业社会化服务体系建设；对基层供销社、农民专业合作社负有“规划、发展、指导、协调、服务、管理”的职责。贯彻执行党中央国务院有关农村工作的方针和政策；按照县人民政府授权，对重要农业生产资料、农产品以及防汛救灾物资的收购、储备和供应进行组织、协调和管理。承办县委政府交办的其他事项。</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ind w:firstLine="642"/>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val="en-US" w:eastAsia="zh-CN"/>
        </w:rPr>
        <w:t>2018年度，</w:t>
      </w:r>
      <w:r>
        <w:rPr>
          <w:rFonts w:hint="eastAsia" w:ascii="仿宋_GB2312" w:hAnsi="仿宋_GB2312" w:eastAsia="仿宋_GB2312" w:cs="仿宋_GB2312"/>
          <w:kern w:val="0"/>
          <w:sz w:val="32"/>
          <w:szCs w:val="32"/>
        </w:rPr>
        <w:t>纳入</w:t>
      </w:r>
      <w:r>
        <w:rPr>
          <w:rFonts w:hint="eastAsia" w:ascii="仿宋_GB2312" w:hAnsi="仿宋_GB2312" w:eastAsia="仿宋_GB2312" w:cs="仿宋_GB2312"/>
          <w:kern w:val="0"/>
          <w:sz w:val="32"/>
          <w:szCs w:val="32"/>
          <w:lang w:eastAsia="zh-CN"/>
        </w:rPr>
        <w:t>本</w:t>
      </w:r>
      <w:r>
        <w:rPr>
          <w:rFonts w:hint="eastAsia" w:ascii="仿宋_GB2312" w:hAnsi="仿宋_GB2312" w:eastAsia="仿宋_GB2312" w:cs="仿宋_GB2312"/>
          <w:kern w:val="0"/>
          <w:sz w:val="32"/>
          <w:szCs w:val="32"/>
        </w:rPr>
        <w:t>部门决算</w:t>
      </w:r>
      <w:r>
        <w:rPr>
          <w:rFonts w:hint="eastAsia" w:ascii="仿宋_GB2312" w:hAnsi="仿宋_GB2312" w:eastAsia="仿宋_GB2312" w:cs="仿宋_GB2312"/>
          <w:kern w:val="0"/>
          <w:sz w:val="32"/>
          <w:szCs w:val="32"/>
          <w:lang w:eastAsia="zh-CN"/>
        </w:rPr>
        <w:t>汇</w:t>
      </w:r>
      <w:r>
        <w:rPr>
          <w:rFonts w:hint="eastAsia" w:ascii="仿宋_GB2312" w:hAnsi="仿宋_GB2312" w:eastAsia="仿宋_GB2312" w:cs="仿宋_GB2312"/>
          <w:kern w:val="0"/>
          <w:sz w:val="32"/>
          <w:szCs w:val="32"/>
        </w:rPr>
        <w:t>编范围的</w:t>
      </w:r>
      <w:r>
        <w:rPr>
          <w:rFonts w:hint="eastAsia" w:ascii="仿宋_GB2312" w:hAnsi="仿宋_GB2312" w:eastAsia="仿宋_GB2312" w:cs="仿宋_GB2312"/>
          <w:kern w:val="0"/>
          <w:sz w:val="32"/>
          <w:szCs w:val="32"/>
          <w:lang w:eastAsia="zh-CN"/>
        </w:rPr>
        <w:t>独立核算事业</w:t>
      </w:r>
      <w:r>
        <w:rPr>
          <w:rFonts w:hint="eastAsia" w:ascii="仿宋_GB2312" w:hAnsi="仿宋_GB2312" w:eastAsia="仿宋_GB2312" w:cs="仿宋_GB2312"/>
          <w:kern w:val="0"/>
          <w:sz w:val="32"/>
          <w:szCs w:val="32"/>
        </w:rPr>
        <w:t>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w:t>
      </w:r>
      <w:r>
        <w:rPr>
          <w:rFonts w:hint="eastAsia" w:ascii="仿宋_GB2312" w:hAnsi="仿宋_GB2312" w:eastAsia="仿宋_GB2312" w:cs="仿宋_GB2312"/>
          <w:kern w:val="0"/>
          <w:sz w:val="32"/>
          <w:szCs w:val="32"/>
          <w:lang w:eastAsia="zh-CN"/>
        </w:rPr>
        <w:t>本部门决算汇编户数共</w:t>
      </w:r>
      <w:r>
        <w:rPr>
          <w:rFonts w:hint="eastAsia" w:ascii="仿宋_GB2312" w:hAnsi="仿宋_GB2312" w:eastAsia="仿宋_GB2312" w:cs="仿宋_GB2312"/>
          <w:kern w:val="0"/>
          <w:sz w:val="32"/>
          <w:szCs w:val="32"/>
          <w:lang w:val="en-US" w:eastAsia="zh-CN"/>
        </w:rPr>
        <w:t>1个，属一级决算单位。</w:t>
      </w:r>
    </w:p>
    <w:p>
      <w:pPr>
        <w:widowControl/>
        <w:spacing w:line="560" w:lineRule="exact"/>
        <w:ind w:firstLine="642"/>
        <w:jc w:val="left"/>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2、西吉县供销合作社内设6</w:t>
      </w:r>
      <w:bookmarkStart w:id="0" w:name="_GoBack"/>
      <w:bookmarkEnd w:id="0"/>
      <w:r>
        <w:rPr>
          <w:rFonts w:hint="eastAsia" w:ascii="仿宋_GB2312" w:hAnsi="仿宋_GB2312" w:eastAsia="仿宋_GB2312" w:cs="仿宋_GB2312"/>
          <w:kern w:val="0"/>
          <w:sz w:val="32"/>
          <w:szCs w:val="32"/>
          <w:lang w:val="en-US" w:eastAsia="zh-CN"/>
        </w:rPr>
        <w:t>个职能股（室）：办公室、财务资产股、综合业务股、合作指导股、社团管理股、电子商务股。</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keepNext w:val="0"/>
        <w:keepLines w:val="0"/>
        <w:pageBreakBefore w:val="0"/>
        <w:widowControl/>
        <w:kinsoku/>
        <w:wordWrap/>
        <w:overflowPunct/>
        <w:topLinePunct w:val="0"/>
        <w:autoSpaceDE/>
        <w:autoSpaceDN/>
        <w:bidi w:val="0"/>
        <w:adjustRightInd/>
        <w:snapToGrid/>
        <w:spacing w:line="20" w:lineRule="exact"/>
        <w:textAlignment w:val="auto"/>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308"/>
        <w:gridCol w:w="705"/>
        <w:gridCol w:w="1279"/>
        <w:gridCol w:w="4235"/>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30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7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23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308"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70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27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4235"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292"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448"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0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7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423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7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423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1328181.00</w:t>
            </w: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36799.00</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24789.00</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1231093.00</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79"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7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24000.00</w:t>
            </w: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79"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8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79"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79"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1328181.00</w:t>
            </w:r>
            <w:r>
              <w:rPr>
                <w:rFonts w:hint="eastAsia" w:ascii="宋体" w:hAnsi="宋体" w:cs="宋体"/>
                <w:color w:val="000000"/>
                <w:kern w:val="0"/>
                <w:sz w:val="18"/>
                <w:szCs w:val="18"/>
              </w:rPr>
              <w:t>　</w:t>
            </w:r>
          </w:p>
        </w:tc>
        <w:tc>
          <w:tcPr>
            <w:tcW w:w="423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eastAsia="宋体" w:cs="宋体"/>
                <w:b/>
                <w:bCs/>
                <w:color w:val="000000"/>
                <w:kern w:val="0"/>
                <w:sz w:val="18"/>
                <w:szCs w:val="18"/>
                <w:lang w:val="en-US" w:eastAsia="zh-CN"/>
              </w:rPr>
            </w:pPr>
            <w:r>
              <w:rPr>
                <w:rFonts w:hint="eastAsia" w:ascii="宋体" w:hAnsi="宋体" w:cs="宋体"/>
                <w:b/>
                <w:bCs/>
                <w:color w:val="000000"/>
                <w:kern w:val="0"/>
                <w:sz w:val="18"/>
                <w:szCs w:val="18"/>
              </w:rPr>
              <w:t>　</w:t>
            </w:r>
            <w:r>
              <w:rPr>
                <w:rFonts w:hint="eastAsia" w:ascii="宋体" w:hAnsi="宋体" w:cs="宋体"/>
                <w:b/>
                <w:bCs/>
                <w:color w:val="000000"/>
                <w:kern w:val="0"/>
                <w:sz w:val="18"/>
                <w:szCs w:val="18"/>
                <w:lang w:val="en-US" w:eastAsia="zh-CN"/>
              </w:rPr>
              <w:t>1316681.00</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79"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4235"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79"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3150.00</w:t>
            </w:r>
            <w:r>
              <w:rPr>
                <w:rFonts w:hint="eastAsia" w:ascii="宋体" w:hAnsi="宋体" w:cs="宋体"/>
                <w:color w:val="000000"/>
                <w:kern w:val="0"/>
                <w:sz w:val="18"/>
                <w:szCs w:val="18"/>
              </w:rPr>
              <w:t>　</w:t>
            </w:r>
          </w:p>
        </w:tc>
        <w:tc>
          <w:tcPr>
            <w:tcW w:w="4235"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rPr>
              <w:t>　</w:t>
            </w:r>
            <w:r>
              <w:rPr>
                <w:rFonts w:hint="eastAsia" w:ascii="宋体" w:hAnsi="宋体" w:cs="宋体"/>
                <w:color w:val="000000"/>
                <w:kern w:val="0"/>
                <w:sz w:val="18"/>
                <w:szCs w:val="18"/>
                <w:lang w:val="en-US" w:eastAsia="zh-CN"/>
              </w:rPr>
              <w:t>14650.00</w:t>
            </w:r>
          </w:p>
        </w:tc>
      </w:tr>
      <w:tr>
        <w:tblPrEx>
          <w:tblCellMar>
            <w:top w:w="0" w:type="dxa"/>
            <w:left w:w="108" w:type="dxa"/>
            <w:bottom w:w="0" w:type="dxa"/>
            <w:right w:w="108" w:type="dxa"/>
          </w:tblCellMar>
        </w:tblPrEx>
        <w:trPr>
          <w:trHeight w:val="266" w:hRule="exact"/>
          <w:jc w:val="center"/>
        </w:trPr>
        <w:tc>
          <w:tcPr>
            <w:tcW w:w="5308"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79"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1331331.00</w:t>
            </w:r>
            <w:r>
              <w:rPr>
                <w:rFonts w:hint="eastAsia" w:ascii="宋体" w:hAnsi="宋体" w:cs="宋体"/>
                <w:color w:val="000000"/>
                <w:kern w:val="0"/>
                <w:sz w:val="18"/>
                <w:szCs w:val="18"/>
              </w:rPr>
              <w:t>　</w:t>
            </w:r>
          </w:p>
        </w:tc>
        <w:tc>
          <w:tcPr>
            <w:tcW w:w="4235"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b/>
                <w:bCs/>
                <w:color w:val="000000"/>
                <w:kern w:val="0"/>
                <w:sz w:val="18"/>
                <w:szCs w:val="18"/>
                <w:lang w:val="en-US" w:eastAsia="zh-CN"/>
              </w:rPr>
            </w:pPr>
            <w:r>
              <w:rPr>
                <w:rFonts w:hint="eastAsia" w:ascii="宋体" w:hAnsi="宋体" w:cs="宋体"/>
                <w:b/>
                <w:bCs/>
                <w:color w:val="000000"/>
                <w:kern w:val="0"/>
                <w:sz w:val="18"/>
                <w:szCs w:val="18"/>
              </w:rPr>
              <w:t>　</w:t>
            </w:r>
            <w:r>
              <w:rPr>
                <w:rFonts w:hint="eastAsia" w:ascii="宋体" w:hAnsi="宋体" w:cs="宋体"/>
                <w:b/>
                <w:bCs/>
                <w:color w:val="000000"/>
                <w:kern w:val="0"/>
                <w:sz w:val="18"/>
                <w:szCs w:val="18"/>
                <w:lang w:val="en-US" w:eastAsia="zh-CN"/>
              </w:rPr>
              <w:t>1331331.00</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3931"/>
        <w:gridCol w:w="1620"/>
        <w:gridCol w:w="1740"/>
        <w:gridCol w:w="1155"/>
        <w:gridCol w:w="990"/>
        <w:gridCol w:w="945"/>
        <w:gridCol w:w="975"/>
        <w:gridCol w:w="1586"/>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3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2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4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8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8611" w:type="dxa"/>
            <w:gridSpan w:val="6"/>
            <w:tcBorders>
              <w:top w:val="nil"/>
              <w:left w:val="nil"/>
              <w:bottom w:val="nil"/>
              <w:right w:val="nil"/>
            </w:tcBorders>
            <w:vAlign w:val="bottom"/>
          </w:tcPr>
          <w:p>
            <w:pPr>
              <w:widowControl/>
              <w:jc w:val="left"/>
              <w:rPr>
                <w:rFonts w:ascii="Arial" w:hAnsi="Arial" w:cs="Arial"/>
                <w:color w:val="000000"/>
                <w:kern w:val="0"/>
                <w:sz w:val="20"/>
                <w:szCs w:val="20"/>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1155" w:type="dxa"/>
            <w:tcBorders>
              <w:top w:val="nil"/>
              <w:left w:val="nil"/>
              <w:bottom w:val="nil"/>
              <w:right w:val="nil"/>
            </w:tcBorders>
            <w:vAlign w:val="bottom"/>
          </w:tcPr>
          <w:p>
            <w:pPr>
              <w:widowControl/>
              <w:jc w:val="center"/>
              <w:rPr>
                <w:rFonts w:ascii="宋体" w:cs="宋体"/>
                <w:color w:val="000000"/>
                <w:kern w:val="0"/>
                <w:sz w:val="24"/>
                <w:szCs w:val="24"/>
              </w:rPr>
            </w:pPr>
          </w:p>
        </w:tc>
        <w:tc>
          <w:tcPr>
            <w:tcW w:w="9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4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8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5251"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2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74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15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99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4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97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1586"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93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2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4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4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8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2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4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4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8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2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4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5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4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8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93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2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4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15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99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4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97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1586"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3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1328181.00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1328181.00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社会保障和就业支出</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行政事业单位离退休</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0"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2080505</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机关事业单位基本养老保险缴费支出</w:t>
            </w:r>
          </w:p>
        </w:tc>
        <w:tc>
          <w:tcPr>
            <w:tcW w:w="162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36799.00</w:t>
            </w:r>
          </w:p>
        </w:tc>
        <w:tc>
          <w:tcPr>
            <w:tcW w:w="174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36799.00</w:t>
            </w:r>
          </w:p>
        </w:tc>
        <w:tc>
          <w:tcPr>
            <w:tcW w:w="115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9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4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8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卫生健康支出</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21011</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行政事业单位医疗</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ind w:firstLine="220" w:firstLineChars="100"/>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2101102</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事业单位医疗</w:t>
            </w:r>
          </w:p>
        </w:tc>
        <w:tc>
          <w:tcPr>
            <w:tcW w:w="162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16950.00</w:t>
            </w:r>
          </w:p>
        </w:tc>
        <w:tc>
          <w:tcPr>
            <w:tcW w:w="174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16950.00</w:t>
            </w:r>
          </w:p>
        </w:tc>
        <w:tc>
          <w:tcPr>
            <w:tcW w:w="115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9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4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8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2101103</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公务员医疗补助</w:t>
            </w:r>
          </w:p>
        </w:tc>
        <w:tc>
          <w:tcPr>
            <w:tcW w:w="162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7839.00</w:t>
            </w:r>
          </w:p>
        </w:tc>
        <w:tc>
          <w:tcPr>
            <w:tcW w:w="174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7939.00</w:t>
            </w:r>
          </w:p>
        </w:tc>
        <w:tc>
          <w:tcPr>
            <w:tcW w:w="115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9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4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9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8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216</w:t>
            </w:r>
          </w:p>
        </w:tc>
        <w:tc>
          <w:tcPr>
            <w:tcW w:w="3931"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商业服务业等支出</w:t>
            </w:r>
          </w:p>
        </w:tc>
        <w:tc>
          <w:tcPr>
            <w:tcW w:w="162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1242593.00</w:t>
            </w:r>
            <w:r>
              <w:rPr>
                <w:rFonts w:hint="eastAsia" w:ascii="宋体" w:hAnsi="宋体" w:cs="宋体"/>
                <w:color w:val="000000"/>
                <w:kern w:val="0"/>
                <w:sz w:val="22"/>
                <w:szCs w:val="22"/>
              </w:rPr>
              <w:t>　</w:t>
            </w:r>
          </w:p>
        </w:tc>
        <w:tc>
          <w:tcPr>
            <w:tcW w:w="174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1242593.00</w:t>
            </w:r>
            <w:r>
              <w:rPr>
                <w:rFonts w:hint="eastAsia" w:ascii="宋体" w:hAnsi="宋体" w:cs="宋体"/>
                <w:color w:val="000000"/>
                <w:kern w:val="0"/>
                <w:sz w:val="22"/>
                <w:szCs w:val="22"/>
              </w:rPr>
              <w:t>　</w:t>
            </w:r>
          </w:p>
        </w:tc>
        <w:tc>
          <w:tcPr>
            <w:tcW w:w="115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21602</w:t>
            </w:r>
          </w:p>
        </w:tc>
        <w:tc>
          <w:tcPr>
            <w:tcW w:w="3931" w:type="dxa"/>
            <w:tcBorders>
              <w:top w:val="nil"/>
              <w:left w:val="nil"/>
              <w:bottom w:val="single" w:color="000000" w:sz="8"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商业流通事务</w:t>
            </w:r>
          </w:p>
        </w:tc>
        <w:tc>
          <w:tcPr>
            <w:tcW w:w="162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1242593.00</w:t>
            </w:r>
            <w:r>
              <w:rPr>
                <w:rFonts w:hint="eastAsia" w:ascii="宋体" w:hAnsi="宋体" w:cs="宋体"/>
                <w:color w:val="000000"/>
                <w:kern w:val="0"/>
                <w:sz w:val="22"/>
                <w:szCs w:val="22"/>
              </w:rPr>
              <w:t>　</w:t>
            </w:r>
          </w:p>
        </w:tc>
        <w:tc>
          <w:tcPr>
            <w:tcW w:w="174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1242593.00</w:t>
            </w:r>
            <w:r>
              <w:rPr>
                <w:rFonts w:hint="eastAsia" w:ascii="宋体" w:hAnsi="宋体" w:cs="宋体"/>
                <w:color w:val="000000"/>
                <w:kern w:val="0"/>
                <w:sz w:val="22"/>
                <w:szCs w:val="22"/>
              </w:rPr>
              <w:t>　</w:t>
            </w:r>
          </w:p>
        </w:tc>
        <w:tc>
          <w:tcPr>
            <w:tcW w:w="115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9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4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7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86"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2160250</w:t>
            </w:r>
          </w:p>
        </w:tc>
        <w:tc>
          <w:tcPr>
            <w:tcW w:w="3931" w:type="dxa"/>
            <w:tcBorders>
              <w:top w:val="nil"/>
              <w:left w:val="nil"/>
              <w:bottom w:val="single" w:color="000000" w:sz="8"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事业运行</w:t>
            </w:r>
          </w:p>
        </w:tc>
        <w:tc>
          <w:tcPr>
            <w:tcW w:w="162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1242593.00</w:t>
            </w:r>
          </w:p>
        </w:tc>
        <w:tc>
          <w:tcPr>
            <w:tcW w:w="174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1242593.00</w:t>
            </w:r>
          </w:p>
        </w:tc>
        <w:tc>
          <w:tcPr>
            <w:tcW w:w="115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9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4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7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86"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221</w:t>
            </w:r>
          </w:p>
        </w:tc>
        <w:tc>
          <w:tcPr>
            <w:tcW w:w="3931" w:type="dxa"/>
            <w:tcBorders>
              <w:top w:val="nil"/>
              <w:left w:val="nil"/>
              <w:bottom w:val="single" w:color="000000" w:sz="8" w:space="0"/>
              <w:right w:val="single" w:color="000000" w:sz="4" w:space="0"/>
            </w:tcBorders>
            <w:vAlign w:val="center"/>
          </w:tcPr>
          <w:p>
            <w:pPr>
              <w:widowControl/>
              <w:jc w:val="left"/>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住房保障支出</w:t>
            </w:r>
          </w:p>
        </w:tc>
        <w:tc>
          <w:tcPr>
            <w:tcW w:w="162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4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15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9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4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8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22102</w:t>
            </w:r>
          </w:p>
        </w:tc>
        <w:tc>
          <w:tcPr>
            <w:tcW w:w="3931" w:type="dxa"/>
            <w:tcBorders>
              <w:top w:val="nil"/>
              <w:left w:val="nil"/>
              <w:bottom w:val="single" w:color="000000" w:sz="8"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住房改革支出</w:t>
            </w:r>
          </w:p>
        </w:tc>
        <w:tc>
          <w:tcPr>
            <w:tcW w:w="162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4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15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9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4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8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2210203</w:t>
            </w:r>
          </w:p>
        </w:tc>
        <w:tc>
          <w:tcPr>
            <w:tcW w:w="3931"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购房补贴</w:t>
            </w:r>
          </w:p>
        </w:tc>
        <w:tc>
          <w:tcPr>
            <w:tcW w:w="162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4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15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9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4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9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8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082" w:type="dxa"/>
        <w:tblInd w:w="-106" w:type="dxa"/>
        <w:tblLayout w:type="fixed"/>
        <w:tblCellMar>
          <w:top w:w="0" w:type="dxa"/>
          <w:left w:w="108" w:type="dxa"/>
          <w:bottom w:w="0" w:type="dxa"/>
          <w:right w:w="108" w:type="dxa"/>
        </w:tblCellMar>
      </w:tblPr>
      <w:tblGrid>
        <w:gridCol w:w="455"/>
        <w:gridCol w:w="455"/>
        <w:gridCol w:w="455"/>
        <w:gridCol w:w="3946"/>
        <w:gridCol w:w="1605"/>
        <w:gridCol w:w="1710"/>
        <w:gridCol w:w="1350"/>
        <w:gridCol w:w="1275"/>
        <w:gridCol w:w="1275"/>
        <w:gridCol w:w="1556"/>
      </w:tblGrid>
      <w:tr>
        <w:tblPrEx>
          <w:tblCellMar>
            <w:top w:w="0" w:type="dxa"/>
            <w:left w:w="108" w:type="dxa"/>
            <w:bottom w:w="0" w:type="dxa"/>
            <w:right w:w="108" w:type="dxa"/>
          </w:tblCellMar>
        </w:tblPrEx>
        <w:trPr>
          <w:trHeight w:val="915" w:hRule="atLeast"/>
        </w:trPr>
        <w:tc>
          <w:tcPr>
            <w:tcW w:w="14082"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71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8626" w:type="dxa"/>
            <w:gridSpan w:val="6"/>
            <w:tcBorders>
              <w:top w:val="nil"/>
              <w:left w:val="nil"/>
              <w:bottom w:val="nil"/>
              <w:right w:val="nil"/>
            </w:tcBorders>
            <w:vAlign w:val="bottom"/>
          </w:tcPr>
          <w:p>
            <w:pPr>
              <w:widowControl/>
              <w:jc w:val="both"/>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135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7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6"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5311"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71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5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127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27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1556"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9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1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1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71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7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6"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94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71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5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27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27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56"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46"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1316681.00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1316681.00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社会保障和就业支出</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行政事业单位离退休</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2080505</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机关事业单位基本养老保险缴费支出</w:t>
            </w:r>
          </w:p>
        </w:tc>
        <w:tc>
          <w:tcPr>
            <w:tcW w:w="1605"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36799.00</w:t>
            </w:r>
          </w:p>
        </w:tc>
        <w:tc>
          <w:tcPr>
            <w:tcW w:w="171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36799.00</w:t>
            </w:r>
          </w:p>
        </w:tc>
        <w:tc>
          <w:tcPr>
            <w:tcW w:w="135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5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卫生健康支出</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21011</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行政事业单位医疗</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2101102</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事业单位医疗</w:t>
            </w:r>
          </w:p>
        </w:tc>
        <w:tc>
          <w:tcPr>
            <w:tcW w:w="1605"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16950.00</w:t>
            </w:r>
          </w:p>
        </w:tc>
        <w:tc>
          <w:tcPr>
            <w:tcW w:w="171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16950.00</w:t>
            </w:r>
          </w:p>
        </w:tc>
        <w:tc>
          <w:tcPr>
            <w:tcW w:w="135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5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2101103</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公务员医疗补助</w:t>
            </w:r>
          </w:p>
        </w:tc>
        <w:tc>
          <w:tcPr>
            <w:tcW w:w="1605"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7839.00</w:t>
            </w:r>
          </w:p>
        </w:tc>
        <w:tc>
          <w:tcPr>
            <w:tcW w:w="1710" w:type="dxa"/>
            <w:tcBorders>
              <w:top w:val="nil"/>
              <w:left w:val="nil"/>
              <w:bottom w:val="single" w:color="000000" w:sz="4"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7939.00</w:t>
            </w:r>
          </w:p>
        </w:tc>
        <w:tc>
          <w:tcPr>
            <w:tcW w:w="1350"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4" w:space="0"/>
              <w:right w:val="single" w:color="000000" w:sz="4" w:space="0"/>
            </w:tcBorders>
            <w:vAlign w:val="center"/>
          </w:tcPr>
          <w:p>
            <w:pPr>
              <w:widowControl/>
              <w:jc w:val="right"/>
              <w:rPr>
                <w:rFonts w:hint="eastAsia" w:ascii="宋体" w:hAnsi="宋体" w:cs="宋体"/>
                <w:color w:val="000000"/>
                <w:kern w:val="0"/>
                <w:sz w:val="22"/>
                <w:szCs w:val="22"/>
              </w:rPr>
            </w:pPr>
          </w:p>
        </w:tc>
        <w:tc>
          <w:tcPr>
            <w:tcW w:w="1556" w:type="dxa"/>
            <w:tcBorders>
              <w:top w:val="nil"/>
              <w:left w:val="nil"/>
              <w:bottom w:val="single" w:color="000000" w:sz="4"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216</w:t>
            </w:r>
          </w:p>
        </w:tc>
        <w:tc>
          <w:tcPr>
            <w:tcW w:w="3946"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商业服务业等支出</w:t>
            </w:r>
          </w:p>
        </w:tc>
        <w:tc>
          <w:tcPr>
            <w:tcW w:w="16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1231093.00</w:t>
            </w:r>
            <w:r>
              <w:rPr>
                <w:rFonts w:hint="eastAsia" w:ascii="宋体" w:hAnsi="宋体" w:cs="宋体"/>
                <w:color w:val="000000"/>
                <w:kern w:val="0"/>
                <w:sz w:val="22"/>
                <w:szCs w:val="22"/>
              </w:rPr>
              <w:t>　</w:t>
            </w:r>
          </w:p>
        </w:tc>
        <w:tc>
          <w:tcPr>
            <w:tcW w:w="171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1231093.00</w:t>
            </w:r>
            <w:r>
              <w:rPr>
                <w:rFonts w:hint="eastAsia" w:ascii="宋体" w:hAnsi="宋体" w:cs="宋体"/>
                <w:color w:val="000000"/>
                <w:kern w:val="0"/>
                <w:sz w:val="22"/>
                <w:szCs w:val="22"/>
              </w:rPr>
              <w:t>　</w:t>
            </w:r>
          </w:p>
        </w:tc>
        <w:tc>
          <w:tcPr>
            <w:tcW w:w="135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21602</w:t>
            </w:r>
          </w:p>
        </w:tc>
        <w:tc>
          <w:tcPr>
            <w:tcW w:w="3946" w:type="dxa"/>
            <w:tcBorders>
              <w:top w:val="nil"/>
              <w:left w:val="nil"/>
              <w:bottom w:val="single" w:color="000000" w:sz="8"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商业流通事务</w:t>
            </w:r>
          </w:p>
        </w:tc>
        <w:tc>
          <w:tcPr>
            <w:tcW w:w="16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1231093.00</w:t>
            </w:r>
            <w:r>
              <w:rPr>
                <w:rFonts w:hint="eastAsia" w:ascii="宋体" w:hAnsi="宋体" w:cs="宋体"/>
                <w:color w:val="000000"/>
                <w:kern w:val="0"/>
                <w:sz w:val="22"/>
                <w:szCs w:val="22"/>
              </w:rPr>
              <w:t>　</w:t>
            </w:r>
          </w:p>
        </w:tc>
        <w:tc>
          <w:tcPr>
            <w:tcW w:w="171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1231093.00</w:t>
            </w:r>
            <w:r>
              <w:rPr>
                <w:rFonts w:hint="eastAsia" w:ascii="宋体" w:hAnsi="宋体" w:cs="宋体"/>
                <w:color w:val="000000"/>
                <w:kern w:val="0"/>
                <w:sz w:val="22"/>
                <w:szCs w:val="22"/>
              </w:rPr>
              <w:t>　</w:t>
            </w:r>
          </w:p>
        </w:tc>
        <w:tc>
          <w:tcPr>
            <w:tcW w:w="135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56"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2160250</w:t>
            </w:r>
          </w:p>
        </w:tc>
        <w:tc>
          <w:tcPr>
            <w:tcW w:w="3946" w:type="dxa"/>
            <w:tcBorders>
              <w:top w:val="nil"/>
              <w:left w:val="nil"/>
              <w:bottom w:val="single" w:color="000000" w:sz="8" w:space="0"/>
              <w:right w:val="single" w:color="000000" w:sz="4" w:space="0"/>
            </w:tcBorders>
            <w:vAlign w:val="center"/>
          </w:tcPr>
          <w:p>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事业运行</w:t>
            </w:r>
          </w:p>
        </w:tc>
        <w:tc>
          <w:tcPr>
            <w:tcW w:w="1605"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71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350"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27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56"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221</w:t>
            </w:r>
          </w:p>
        </w:tc>
        <w:tc>
          <w:tcPr>
            <w:tcW w:w="3946" w:type="dxa"/>
            <w:tcBorders>
              <w:top w:val="nil"/>
              <w:left w:val="nil"/>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住房保障支出</w:t>
            </w:r>
          </w:p>
        </w:tc>
        <w:tc>
          <w:tcPr>
            <w:tcW w:w="1605"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1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5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22102</w:t>
            </w:r>
          </w:p>
        </w:tc>
        <w:tc>
          <w:tcPr>
            <w:tcW w:w="3946" w:type="dxa"/>
            <w:tcBorders>
              <w:top w:val="nil"/>
              <w:left w:val="nil"/>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住房改革支出</w:t>
            </w:r>
          </w:p>
        </w:tc>
        <w:tc>
          <w:tcPr>
            <w:tcW w:w="1605"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1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5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2210203</w:t>
            </w:r>
          </w:p>
        </w:tc>
        <w:tc>
          <w:tcPr>
            <w:tcW w:w="3946"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购房补贴</w:t>
            </w:r>
          </w:p>
        </w:tc>
        <w:tc>
          <w:tcPr>
            <w:tcW w:w="1605"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71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0"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275"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p>
        </w:tc>
        <w:tc>
          <w:tcPr>
            <w:tcW w:w="1556" w:type="dxa"/>
            <w:tcBorders>
              <w:top w:val="nil"/>
              <w:left w:val="nil"/>
              <w:bottom w:val="single" w:color="000000" w:sz="8" w:space="0"/>
              <w:right w:val="single" w:color="000000" w:sz="8" w:space="0"/>
            </w:tcBorders>
            <w:vAlign w:val="center"/>
          </w:tcPr>
          <w:p>
            <w:pPr>
              <w:widowControl/>
              <w:jc w:val="right"/>
              <w:rPr>
                <w:rFonts w:hint="default" w:ascii="宋体" w:hAnsi="宋体" w:eastAsia="宋体" w:cs="宋体"/>
                <w:color w:val="000000"/>
                <w:kern w:val="0"/>
                <w:sz w:val="22"/>
                <w:szCs w:val="22"/>
                <w:lang w:val="en-US" w:eastAsia="zh-CN"/>
              </w:rPr>
            </w:pPr>
          </w:p>
        </w:tc>
      </w:tr>
      <w:tr>
        <w:tblPrEx>
          <w:tblCellMar>
            <w:top w:w="0" w:type="dxa"/>
            <w:left w:w="108" w:type="dxa"/>
            <w:bottom w:w="0" w:type="dxa"/>
            <w:right w:w="108" w:type="dxa"/>
          </w:tblCellMar>
        </w:tblPrEx>
        <w:trPr>
          <w:trHeight w:val="510" w:hRule="atLeast"/>
        </w:trPr>
        <w:tc>
          <w:tcPr>
            <w:tcW w:w="14082"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744"/>
        <w:gridCol w:w="1322"/>
        <w:gridCol w:w="226"/>
        <w:gridCol w:w="694"/>
        <w:gridCol w:w="1009"/>
        <w:gridCol w:w="171"/>
        <w:gridCol w:w="1747"/>
      </w:tblGrid>
      <w:tr>
        <w:tblPrEx>
          <w:tblCellMar>
            <w:top w:w="0" w:type="dxa"/>
            <w:left w:w="108" w:type="dxa"/>
            <w:bottom w:w="0" w:type="dxa"/>
            <w:right w:w="108" w:type="dxa"/>
          </w:tblCellMar>
        </w:tblPrEx>
        <w:trPr>
          <w:trHeight w:val="2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gridSpan w:val="2"/>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宁夏西吉县供销合作社（本级）</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gridSpan w:val="2"/>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2066"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100"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174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066"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100"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74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1328181.00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36799.00</w:t>
            </w: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36799.00</w:t>
            </w: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24789.00</w:t>
            </w: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24789.00</w:t>
            </w: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066"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06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06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066"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1231093.00</w:t>
            </w:r>
            <w:r>
              <w:rPr>
                <w:rFonts w:hint="eastAsia" w:ascii="宋体" w:hAnsi="宋体" w:cs="宋体"/>
                <w:color w:val="000000"/>
                <w:kern w:val="0"/>
                <w:sz w:val="18"/>
                <w:szCs w:val="18"/>
              </w:rPr>
              <w:t>　</w:t>
            </w:r>
          </w:p>
        </w:tc>
        <w:tc>
          <w:tcPr>
            <w:tcW w:w="2100"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1231093.00</w:t>
            </w:r>
            <w:r>
              <w:rPr>
                <w:rFonts w:hint="eastAsia" w:ascii="宋体" w:hAnsi="宋体" w:cs="宋体"/>
                <w:color w:val="000000"/>
                <w:kern w:val="0"/>
                <w:sz w:val="18"/>
                <w:szCs w:val="18"/>
              </w:rPr>
              <w:t>　</w:t>
            </w:r>
          </w:p>
        </w:tc>
        <w:tc>
          <w:tcPr>
            <w:tcW w:w="1747"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24000.00</w:t>
            </w: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24000.00</w:t>
            </w: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1328181.00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1316681.00</w:t>
            </w: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1316681.00</w:t>
            </w: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3150.00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14650.00</w:t>
            </w: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14650.00</w:t>
            </w: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3150.00</w:t>
            </w: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066"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2066"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100"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1747"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1331331.00</w:t>
            </w: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206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1331331.00</w:t>
            </w:r>
            <w:r>
              <w:rPr>
                <w:rFonts w:hint="eastAsia" w:ascii="宋体" w:hAnsi="宋体" w:cs="宋体"/>
                <w:color w:val="000000"/>
                <w:kern w:val="0"/>
                <w:sz w:val="18"/>
                <w:szCs w:val="18"/>
              </w:rPr>
              <w:t>　</w:t>
            </w:r>
          </w:p>
        </w:tc>
        <w:tc>
          <w:tcPr>
            <w:tcW w:w="2100"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lang w:val="en-US" w:eastAsia="zh-CN"/>
              </w:rPr>
              <w:t>1331331.00</w:t>
            </w:r>
            <w:r>
              <w:rPr>
                <w:rFonts w:hint="eastAsia" w:ascii="宋体" w:hAnsi="宋体" w:cs="宋体"/>
                <w:color w:val="000000"/>
                <w:kern w:val="0"/>
                <w:sz w:val="18"/>
                <w:szCs w:val="18"/>
              </w:rPr>
              <w:t>　</w:t>
            </w:r>
          </w:p>
        </w:tc>
        <w:tc>
          <w:tcPr>
            <w:tcW w:w="174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3900"/>
        <w:gridCol w:w="1590"/>
        <w:gridCol w:w="1680"/>
        <w:gridCol w:w="1352"/>
      </w:tblGrid>
      <w:tr>
        <w:tblPrEx>
          <w:tblCellMar>
            <w:top w:w="0" w:type="dxa"/>
            <w:left w:w="108" w:type="dxa"/>
            <w:bottom w:w="0" w:type="dxa"/>
            <w:right w:w="108" w:type="dxa"/>
          </w:tblCellMar>
        </w:tblPrEx>
        <w:trPr>
          <w:trHeight w:val="82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90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9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8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5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8508" w:type="dxa"/>
            <w:gridSpan w:val="6"/>
            <w:tcBorders>
              <w:top w:val="nil"/>
              <w:left w:val="nil"/>
              <w:bottom w:val="nil"/>
              <w:right w:val="nil"/>
            </w:tcBorders>
            <w:vAlign w:val="bottom"/>
          </w:tcPr>
          <w:p>
            <w:pPr>
              <w:widowControl/>
              <w:jc w:val="both"/>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1352"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5238"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9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80"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5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390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0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0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9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5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3900"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9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80"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5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900"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1316681.00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1316681.00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w:t>
            </w:r>
          </w:p>
        </w:tc>
        <w:tc>
          <w:tcPr>
            <w:tcW w:w="3900"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cs="宋体"/>
                <w:color w:val="000000"/>
                <w:kern w:val="0"/>
                <w:sz w:val="22"/>
                <w:szCs w:val="22"/>
                <w:lang w:eastAsia="zh-CN"/>
              </w:rPr>
              <w:t>社会保障和就业支出</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w:t>
            </w:r>
          </w:p>
        </w:tc>
        <w:tc>
          <w:tcPr>
            <w:tcW w:w="3900"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cs="宋体"/>
                <w:color w:val="000000"/>
                <w:kern w:val="0"/>
                <w:sz w:val="22"/>
                <w:szCs w:val="22"/>
                <w:lang w:eastAsia="zh-CN"/>
              </w:rPr>
              <w:t>行政事业单位离退休</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2050205</w:t>
            </w:r>
          </w:p>
        </w:tc>
        <w:tc>
          <w:tcPr>
            <w:tcW w:w="3900"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lang w:eastAsia="zh-CN"/>
              </w:rPr>
              <w:t>机关事业单位基本养老保险缴费支出</w:t>
            </w:r>
            <w:r>
              <w:rPr>
                <w:rFonts w:hint="eastAsia" w:ascii="宋体" w:hAnsi="宋体" w:cs="宋体"/>
                <w:color w:val="000000"/>
                <w:kern w:val="0"/>
                <w:sz w:val="22"/>
                <w:szCs w:val="22"/>
              </w:rPr>
              <w:t>　</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36799.00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w:t>
            </w:r>
          </w:p>
        </w:tc>
        <w:tc>
          <w:tcPr>
            <w:tcW w:w="3900"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lang w:eastAsia="zh-CN"/>
              </w:rPr>
              <w:t>卫生健康支出</w:t>
            </w:r>
            <w:r>
              <w:rPr>
                <w:rFonts w:hint="eastAsia" w:ascii="宋体" w:hAnsi="宋体" w:cs="宋体"/>
                <w:color w:val="000000"/>
                <w:kern w:val="0"/>
                <w:sz w:val="22"/>
                <w:szCs w:val="22"/>
              </w:rPr>
              <w:t>　</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21011</w:t>
            </w:r>
          </w:p>
        </w:tc>
        <w:tc>
          <w:tcPr>
            <w:tcW w:w="3900" w:type="dxa"/>
            <w:tcBorders>
              <w:top w:val="nil"/>
              <w:left w:val="nil"/>
              <w:bottom w:val="single" w:color="000000" w:sz="4" w:space="0"/>
              <w:right w:val="single" w:color="000000" w:sz="4" w:space="0"/>
            </w:tcBorders>
            <w:vAlign w:val="center"/>
          </w:tcPr>
          <w:p>
            <w:pPr>
              <w:widowControl/>
              <w:jc w:val="left"/>
              <w:rPr>
                <w:rFonts w:hint="eastAsia" w:ascii="宋体" w:eastAsia="宋体" w:cs="宋体"/>
                <w:color w:val="000000"/>
                <w:kern w:val="0"/>
                <w:sz w:val="22"/>
                <w:szCs w:val="22"/>
                <w:lang w:eastAsia="zh-CN"/>
              </w:rPr>
            </w:pPr>
            <w:r>
              <w:rPr>
                <w:rFonts w:hint="eastAsia" w:ascii="宋体" w:hAnsi="宋体" w:cs="宋体"/>
                <w:color w:val="000000"/>
                <w:kern w:val="0"/>
                <w:sz w:val="22"/>
                <w:szCs w:val="22"/>
                <w:lang w:eastAsia="zh-CN"/>
              </w:rPr>
              <w:t>行政事业单位医疗</w:t>
            </w:r>
          </w:p>
        </w:tc>
        <w:tc>
          <w:tcPr>
            <w:tcW w:w="159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680"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24789.00</w:t>
            </w:r>
            <w:r>
              <w:rPr>
                <w:rFonts w:hint="eastAsia" w:ascii="宋体" w:hAnsi="宋体" w:cs="宋体"/>
                <w:color w:val="000000"/>
                <w:kern w:val="0"/>
                <w:sz w:val="22"/>
                <w:szCs w:val="22"/>
              </w:rPr>
              <w:t>　</w:t>
            </w:r>
          </w:p>
        </w:tc>
        <w:tc>
          <w:tcPr>
            <w:tcW w:w="135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2101102</w:t>
            </w:r>
          </w:p>
        </w:tc>
        <w:tc>
          <w:tcPr>
            <w:tcW w:w="3900"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lang w:eastAsia="zh-CN"/>
              </w:rPr>
              <w:t>事业单位医疗</w:t>
            </w:r>
            <w:r>
              <w:rPr>
                <w:rFonts w:hint="eastAsia" w:ascii="宋体" w:hAnsi="宋体" w:cs="宋体"/>
                <w:color w:val="000000"/>
                <w:kern w:val="0"/>
                <w:sz w:val="22"/>
                <w:szCs w:val="22"/>
              </w:rPr>
              <w:t>　</w:t>
            </w:r>
          </w:p>
        </w:tc>
        <w:tc>
          <w:tcPr>
            <w:tcW w:w="159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16950.00</w:t>
            </w:r>
            <w:r>
              <w:rPr>
                <w:rFonts w:hint="eastAsia" w:ascii="宋体" w:hAnsi="宋体" w:cs="宋体"/>
                <w:color w:val="000000"/>
                <w:kern w:val="0"/>
                <w:sz w:val="22"/>
                <w:szCs w:val="22"/>
              </w:rPr>
              <w:t>　</w:t>
            </w:r>
          </w:p>
        </w:tc>
        <w:tc>
          <w:tcPr>
            <w:tcW w:w="1680"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16950.00</w:t>
            </w:r>
            <w:r>
              <w:rPr>
                <w:rFonts w:hint="eastAsia" w:ascii="宋体" w:hAnsi="宋体" w:cs="宋体"/>
                <w:color w:val="000000"/>
                <w:kern w:val="0"/>
                <w:sz w:val="22"/>
                <w:szCs w:val="22"/>
              </w:rPr>
              <w:t>　</w:t>
            </w:r>
          </w:p>
        </w:tc>
        <w:tc>
          <w:tcPr>
            <w:tcW w:w="135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2101103</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公务员医疗补助</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7839.00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7839.00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ind w:firstLine="220" w:firstLineChars="100"/>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216</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商业服务业等支出</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21602</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商业流通事务</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2160250</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事业运行</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1231093.00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221</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住房保障支出</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22102</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住房改革支出</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 xml:space="preserve">  2210203</w:t>
            </w:r>
          </w:p>
        </w:tc>
        <w:tc>
          <w:tcPr>
            <w:tcW w:w="3900"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lang w:eastAsia="zh-CN"/>
              </w:rPr>
            </w:pPr>
            <w:r>
              <w:rPr>
                <w:rFonts w:hint="eastAsia" w:ascii="宋体" w:hAnsi="宋体" w:cs="宋体"/>
                <w:color w:val="000000"/>
                <w:kern w:val="0"/>
                <w:sz w:val="22"/>
                <w:szCs w:val="22"/>
                <w:lang w:eastAsia="zh-CN"/>
              </w:rPr>
              <w:t>购房补贴</w:t>
            </w:r>
          </w:p>
        </w:tc>
        <w:tc>
          <w:tcPr>
            <w:tcW w:w="159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680" w:type="dxa"/>
            <w:tcBorders>
              <w:top w:val="nil"/>
              <w:left w:val="nil"/>
              <w:bottom w:val="single" w:color="000000" w:sz="8" w:space="0"/>
              <w:right w:val="single" w:color="000000" w:sz="4" w:space="0"/>
            </w:tcBorders>
            <w:vAlign w:val="center"/>
          </w:tcPr>
          <w:p>
            <w:pPr>
              <w:widowControl/>
              <w:jc w:val="righ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24000.00</w:t>
            </w:r>
          </w:p>
        </w:tc>
        <w:tc>
          <w:tcPr>
            <w:tcW w:w="135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627"/>
        <w:gridCol w:w="899"/>
        <w:gridCol w:w="81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627" w:type="dxa"/>
            <w:shd w:val="clear" w:color="auto" w:fill="FFFFFF"/>
            <w:vAlign w:val="center"/>
          </w:tcPr>
          <w:p>
            <w:pPr>
              <w:jc w:val="center"/>
              <w:rPr>
                <w:rFonts w:ascii="宋体" w:cs="Times New Roman"/>
                <w:color w:val="000000"/>
                <w:sz w:val="18"/>
                <w:szCs w:val="18"/>
              </w:rPr>
            </w:pPr>
          </w:p>
        </w:tc>
        <w:tc>
          <w:tcPr>
            <w:tcW w:w="899" w:type="dxa"/>
            <w:shd w:val="clear" w:color="auto" w:fill="FFFFFF"/>
            <w:vAlign w:val="center"/>
          </w:tcPr>
          <w:p>
            <w:pPr>
              <w:jc w:val="center"/>
              <w:rPr>
                <w:rFonts w:ascii="宋体" w:cs="Times New Roman"/>
                <w:color w:val="000000"/>
                <w:sz w:val="18"/>
                <w:szCs w:val="18"/>
              </w:rPr>
            </w:pPr>
          </w:p>
        </w:tc>
        <w:tc>
          <w:tcPr>
            <w:tcW w:w="81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627"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宁夏西吉县供销合作社（本级）</w:t>
            </w:r>
          </w:p>
        </w:tc>
        <w:tc>
          <w:tcPr>
            <w:tcW w:w="899" w:type="dxa"/>
            <w:vAlign w:val="center"/>
          </w:tcPr>
          <w:p>
            <w:pPr>
              <w:rPr>
                <w:rFonts w:ascii="宋体" w:cs="Times New Roman"/>
                <w:color w:val="000000"/>
                <w:sz w:val="17"/>
                <w:szCs w:val="17"/>
              </w:rPr>
            </w:pPr>
          </w:p>
        </w:tc>
        <w:tc>
          <w:tcPr>
            <w:tcW w:w="81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627"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99"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1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425111.00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56000.00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185585.00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10577.00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67998.00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2184.00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48800.00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12500.00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52"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20448.00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992.00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36799.00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5797.50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5000.00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16950.00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11026.00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7839.00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2234.00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5350.00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25958.00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835570.00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4460.00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827750.00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62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3360.00</w:t>
            </w: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15073.50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627"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586"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899"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1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586"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899" w:type="dxa"/>
            <w:tcBorders>
              <w:top w:val="single" w:color="000000" w:sz="4" w:space="0"/>
              <w:left w:val="single" w:color="000000" w:sz="4" w:space="0"/>
              <w:bottom w:val="single" w:color="000000" w:sz="12" w:space="0"/>
              <w:right w:val="single" w:color="000000" w:sz="4"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1260681.00</w:t>
            </w:r>
          </w:p>
        </w:tc>
        <w:tc>
          <w:tcPr>
            <w:tcW w:w="728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hint="default" w:ascii="宋体" w:eastAsia="宋体" w:cs="Times New Roman"/>
                <w:color w:val="000000"/>
                <w:sz w:val="17"/>
                <w:szCs w:val="17"/>
                <w:lang w:val="en-US" w:eastAsia="zh-CN"/>
              </w:rPr>
            </w:pPr>
            <w:r>
              <w:rPr>
                <w:rFonts w:hint="eastAsia" w:ascii="宋体" w:cs="Times New Roman"/>
                <w:color w:val="000000"/>
                <w:sz w:val="17"/>
                <w:szCs w:val="17"/>
                <w:lang w:val="en-US" w:eastAsia="zh-CN"/>
              </w:rPr>
              <w:t>56000.00</w:t>
            </w:r>
          </w:p>
        </w:tc>
      </w:tr>
      <w:tr>
        <w:tblPrEx>
          <w:tblCellMar>
            <w:top w:w="15" w:type="dxa"/>
            <w:left w:w="15" w:type="dxa"/>
            <w:bottom w:w="15" w:type="dxa"/>
            <w:right w:w="15" w:type="dxa"/>
          </w:tblCellMar>
        </w:tblPrEx>
        <w:trPr>
          <w:trHeight w:val="227" w:hRule="exact"/>
          <w:jc w:val="center"/>
        </w:trPr>
        <w:tc>
          <w:tcPr>
            <w:tcW w:w="3586"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149"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6318" w:type="dxa"/>
            <w:gridSpan w:val="15"/>
            <w:tcBorders>
              <w:top w:val="nil"/>
              <w:left w:val="nil"/>
              <w:bottom w:val="nil"/>
              <w:right w:val="nil"/>
            </w:tcBorders>
            <w:vAlign w:val="bottom"/>
          </w:tcPr>
          <w:p>
            <w:pPr>
              <w:widowControl/>
              <w:jc w:val="left"/>
              <w:rPr>
                <w:rFonts w:hint="eastAsia" w:ascii="Arial" w:hAnsi="Arial" w:eastAsia="宋体" w:cs="Arial"/>
                <w:color w:val="000000"/>
                <w:kern w:val="0"/>
                <w:sz w:val="20"/>
                <w:szCs w:val="20"/>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152" w:type="dxa"/>
            <w:gridSpan w:val="4"/>
            <w:tcBorders>
              <w:top w:val="nil"/>
              <w:left w:val="nil"/>
              <w:bottom w:val="single" w:color="auto" w:sz="4" w:space="0"/>
              <w:right w:val="single" w:color="auto" w:sz="4" w:space="0"/>
            </w:tcBorders>
            <w:vAlign w:val="center"/>
          </w:tcPr>
          <w:p>
            <w:pPr>
              <w:widowControl/>
              <w:jc w:val="center"/>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672" w:type="dxa"/>
            <w:gridSpan w:val="2"/>
            <w:tcBorders>
              <w:top w:val="nil"/>
              <w:left w:val="nil"/>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824" w:type="dxa"/>
            <w:gridSpan w:val="4"/>
            <w:tcBorders>
              <w:top w:val="nil"/>
              <w:left w:val="nil"/>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871" w:type="dxa"/>
            <w:gridSpan w:val="3"/>
            <w:tcBorders>
              <w:top w:val="nil"/>
              <w:left w:val="nil"/>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381" w:type="dxa"/>
            <w:gridSpan w:val="2"/>
            <w:tcBorders>
              <w:top w:val="nil"/>
              <w:left w:val="nil"/>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720" w:type="dxa"/>
            <w:gridSpan w:val="2"/>
            <w:tcBorders>
              <w:top w:val="nil"/>
              <w:left w:val="nil"/>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104" w:type="dxa"/>
            <w:gridSpan w:val="3"/>
            <w:tcBorders>
              <w:top w:val="nil"/>
              <w:left w:val="nil"/>
              <w:bottom w:val="single" w:color="auto" w:sz="4" w:space="0"/>
              <w:right w:val="single" w:color="auto" w:sz="4" w:space="0"/>
            </w:tcBorders>
            <w:vAlign w:val="center"/>
          </w:tcPr>
          <w:p>
            <w:pPr>
              <w:widowControl/>
              <w:jc w:val="center"/>
              <w:rPr>
                <w:rFonts w:hint="eastAsia" w:ascii="Arial" w:hAnsi="Arial" w:eastAsia="宋体" w:cs="Arial"/>
                <w:color w:val="000000"/>
                <w:kern w:val="0"/>
                <w:sz w:val="20"/>
                <w:szCs w:val="20"/>
                <w:lang w:val="en-US" w:eastAsia="zh-CN"/>
              </w:rPr>
            </w:pPr>
            <w:r>
              <w:rPr>
                <w:rFonts w:hint="eastAsia" w:ascii="Arial" w:hAnsi="Arial" w:cs="宋体"/>
                <w:color w:val="000000"/>
                <w:kern w:val="0"/>
                <w:sz w:val="20"/>
                <w:szCs w:val="20"/>
                <w:lang w:val="en-US" w:eastAsia="zh-CN"/>
              </w:rPr>
              <w:t>0</w:t>
            </w:r>
          </w:p>
        </w:tc>
        <w:tc>
          <w:tcPr>
            <w:tcW w:w="756" w:type="dxa"/>
            <w:gridSpan w:val="2"/>
            <w:tcBorders>
              <w:top w:val="nil"/>
              <w:left w:val="nil"/>
              <w:bottom w:val="single" w:color="auto" w:sz="4" w:space="0"/>
              <w:right w:val="single" w:color="auto" w:sz="4" w:space="0"/>
            </w:tcBorders>
            <w:vAlign w:val="center"/>
          </w:tcPr>
          <w:p>
            <w:pPr>
              <w:widowControl/>
              <w:jc w:val="center"/>
              <w:rPr>
                <w:rFonts w:hint="eastAsia" w:ascii="Arial" w:hAnsi="Arial" w:eastAsia="宋体" w:cs="Arial"/>
                <w:color w:val="000000"/>
                <w:kern w:val="0"/>
                <w:sz w:val="20"/>
                <w:szCs w:val="20"/>
                <w:lang w:val="en-US" w:eastAsia="zh-CN"/>
              </w:rPr>
            </w:pPr>
            <w:r>
              <w:rPr>
                <w:rFonts w:hint="eastAsia" w:ascii="Arial" w:hAnsi="Arial" w:cs="宋体"/>
                <w:color w:val="000000"/>
                <w:kern w:val="0"/>
                <w:sz w:val="20"/>
                <w:szCs w:val="20"/>
                <w:lang w:val="en-US" w:eastAsia="zh-CN"/>
              </w:rPr>
              <w:t>0</w:t>
            </w:r>
          </w:p>
        </w:tc>
        <w:tc>
          <w:tcPr>
            <w:tcW w:w="1776" w:type="dxa"/>
            <w:gridSpan w:val="3"/>
            <w:tcBorders>
              <w:top w:val="nil"/>
              <w:left w:val="nil"/>
              <w:bottom w:val="single" w:color="auto" w:sz="4" w:space="0"/>
              <w:right w:val="single" w:color="auto" w:sz="4" w:space="0"/>
            </w:tcBorders>
            <w:vAlign w:val="center"/>
          </w:tcPr>
          <w:p>
            <w:pPr>
              <w:widowControl/>
              <w:jc w:val="center"/>
              <w:rPr>
                <w:rFonts w:hint="eastAsia" w:ascii="Arial" w:hAnsi="Arial" w:eastAsia="宋体" w:cs="Arial"/>
                <w:color w:val="000000"/>
                <w:kern w:val="0"/>
                <w:sz w:val="20"/>
                <w:szCs w:val="20"/>
                <w:lang w:val="en-US" w:eastAsia="zh-CN"/>
              </w:rPr>
            </w:pPr>
            <w:r>
              <w:rPr>
                <w:rFonts w:hint="eastAsia" w:ascii="Arial" w:hAnsi="Arial" w:cs="宋体"/>
                <w:color w:val="000000"/>
                <w:kern w:val="0"/>
                <w:sz w:val="20"/>
                <w:szCs w:val="20"/>
                <w:lang w:val="en-US" w:eastAsia="zh-CN"/>
              </w:rPr>
              <w:t>0</w:t>
            </w:r>
          </w:p>
        </w:tc>
        <w:tc>
          <w:tcPr>
            <w:tcW w:w="1824" w:type="dxa"/>
            <w:gridSpan w:val="3"/>
            <w:tcBorders>
              <w:top w:val="nil"/>
              <w:left w:val="nil"/>
              <w:bottom w:val="single" w:color="auto" w:sz="4" w:space="0"/>
              <w:right w:val="single" w:color="auto" w:sz="4" w:space="0"/>
            </w:tcBorders>
            <w:vAlign w:val="center"/>
          </w:tcPr>
          <w:p>
            <w:pPr>
              <w:widowControl/>
              <w:jc w:val="center"/>
              <w:rPr>
                <w:rFonts w:hint="eastAsia" w:ascii="Arial" w:hAnsi="Arial" w:eastAsia="宋体" w:cs="Arial"/>
                <w:color w:val="000000"/>
                <w:kern w:val="0"/>
                <w:sz w:val="20"/>
                <w:szCs w:val="20"/>
                <w:lang w:val="en-US" w:eastAsia="zh-CN"/>
              </w:rPr>
            </w:pPr>
            <w:r>
              <w:rPr>
                <w:rFonts w:hint="eastAsia" w:ascii="Arial" w:hAnsi="Arial" w:cs="宋体"/>
                <w:color w:val="000000"/>
                <w:kern w:val="0"/>
                <w:sz w:val="20"/>
                <w:szCs w:val="20"/>
                <w:lang w:val="en-US" w:eastAsia="zh-CN"/>
              </w:rPr>
              <w:t>0</w:t>
            </w:r>
          </w:p>
        </w:tc>
        <w:tc>
          <w:tcPr>
            <w:tcW w:w="1320" w:type="dxa"/>
            <w:tcBorders>
              <w:top w:val="nil"/>
              <w:left w:val="nil"/>
              <w:bottom w:val="single" w:color="auto" w:sz="4" w:space="0"/>
              <w:right w:val="single" w:color="auto" w:sz="4" w:space="0"/>
            </w:tcBorders>
            <w:vAlign w:val="center"/>
          </w:tcPr>
          <w:p>
            <w:pPr>
              <w:widowControl/>
              <w:jc w:val="center"/>
              <w:rPr>
                <w:rFonts w:hint="eastAsia" w:ascii="Arial" w:hAnsi="Arial" w:eastAsia="宋体" w:cs="Arial"/>
                <w:color w:val="000000"/>
                <w:kern w:val="0"/>
                <w:sz w:val="20"/>
                <w:szCs w:val="20"/>
                <w:lang w:val="en-US" w:eastAsia="zh-CN"/>
              </w:rPr>
            </w:pPr>
            <w:r>
              <w:rPr>
                <w:rFonts w:hint="eastAsia" w:ascii="Arial" w:hAnsi="Arial" w:cs="宋体"/>
                <w:color w:val="000000"/>
                <w:kern w:val="0"/>
                <w:sz w:val="20"/>
                <w:szCs w:val="20"/>
                <w:lang w:val="en-US" w:eastAsia="zh-CN"/>
              </w:rPr>
              <w:t>0</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5933" w:type="dxa"/>
            <w:gridSpan w:val="14"/>
            <w:tcBorders>
              <w:top w:val="nil"/>
              <w:left w:val="nil"/>
              <w:bottom w:val="nil"/>
              <w:right w:val="nil"/>
            </w:tcBorders>
            <w:vAlign w:val="bottom"/>
          </w:tcPr>
          <w:p>
            <w:pPr>
              <w:widowControl/>
              <w:jc w:val="left"/>
              <w:rPr>
                <w:rFonts w:hint="eastAsia" w:ascii="Arial" w:hAnsi="Arial" w:eastAsia="宋体" w:cs="Arial"/>
                <w:color w:val="000000"/>
                <w:kern w:val="0"/>
                <w:sz w:val="20"/>
                <w:szCs w:val="20"/>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宁夏西吉县供销合作社（本级）</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hint="eastAsia" w:asci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0</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val="en-US" w:eastAsia="zh-CN"/>
              </w:rPr>
              <w:t>0</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val="en-US" w:eastAsia="zh-CN"/>
              </w:rPr>
              <w:t>0</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val="en-US" w:eastAsia="zh-CN"/>
              </w:rPr>
              <w:t>0</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val="en-US" w:eastAsia="zh-CN"/>
              </w:rPr>
              <w:t>0</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val="en-US" w:eastAsia="zh-CN"/>
              </w:rPr>
              <w:t>0</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1328181.00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9317.00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967.00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lang w:eastAsia="zh-CN"/>
        </w:rPr>
        <w:t>元</w:t>
      </w:r>
      <w:r>
        <w:rPr>
          <w:rFonts w:hint="eastAsia" w:ascii="仿宋_GB2312" w:hAnsi="宋体" w:eastAsia="仿宋_GB2312" w:cs="仿宋_GB2312"/>
          <w:kern w:val="0"/>
          <w:sz w:val="32"/>
          <w:szCs w:val="32"/>
        </w:rPr>
        <w:t>，</w:t>
      </w:r>
      <w:r>
        <w:rPr>
          <w:rFonts w:hint="eastAsia" w:ascii="仿宋_GB2312" w:hAnsi="宋体" w:eastAsia="仿宋_GB2312" w:cs="仿宋_GB2312"/>
          <w:kern w:val="0"/>
          <w:sz w:val="32"/>
          <w:szCs w:val="32"/>
          <w:lang w:eastAsia="zh-CN"/>
        </w:rPr>
        <w:t>各</w:t>
      </w:r>
      <w:r>
        <w:rPr>
          <w:rFonts w:hint="eastAsia" w:ascii="仿宋_GB2312" w:hAnsi="宋体" w:eastAsia="仿宋_GB2312" w:cs="仿宋_GB2312"/>
          <w:kern w:val="0"/>
          <w:sz w:val="32"/>
          <w:szCs w:val="32"/>
        </w:rPr>
        <w:t>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0.71%</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lang w:eastAsia="zh-CN"/>
        </w:rPr>
        <w:t>、</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0.07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人员工资和社保缴费变化</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1328181.00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1328181.00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1328181.00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hint="eastAsia" w:ascii="仿宋_GB2312" w:hAnsi="宋体" w:eastAsia="仿宋_GB2312" w:cs="仿宋_GB2312"/>
          <w:kern w:val="0"/>
          <w:sz w:val="32"/>
          <w:szCs w:val="32"/>
        </w:rPr>
        <w:t>元。与上年相比，财政拨款收、支总计各增加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9317.00</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967.00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w:t>
      </w:r>
      <w:r>
        <w:rPr>
          <w:rFonts w:hint="eastAsia" w:ascii="仿宋_GB2312" w:hAnsi="宋体" w:eastAsia="仿宋_GB2312" w:cs="仿宋_GB2312"/>
          <w:kern w:val="0"/>
          <w:sz w:val="32"/>
          <w:szCs w:val="32"/>
          <w:lang w:eastAsia="zh-CN"/>
        </w:rPr>
        <w:t>，各</w:t>
      </w:r>
      <w:r>
        <w:rPr>
          <w:rFonts w:hint="eastAsia" w:ascii="仿宋_GB2312" w:hAnsi="宋体" w:eastAsia="仿宋_GB2312" w:cs="仿宋_GB2312"/>
          <w:kern w:val="0"/>
          <w:sz w:val="32"/>
          <w:szCs w:val="32"/>
        </w:rPr>
        <w:t>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0.71</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lang w:eastAsia="zh-CN"/>
        </w:rPr>
        <w:t>、</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0.07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人员工资和社保缴费变化</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967.00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0.07</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宋体" w:eastAsia="仿宋_GB2312" w:cs="仿宋_GB2312"/>
          <w:kern w:val="0"/>
          <w:sz w:val="32"/>
          <w:szCs w:val="32"/>
          <w:lang w:eastAsia="zh-CN"/>
        </w:rPr>
        <w:t>人员工资和社保缴费变化</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36799.00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2.80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卫生健康</w:t>
      </w:r>
      <w:r>
        <w:rPr>
          <w:rFonts w:hint="eastAsia" w:ascii="仿宋_GB2312" w:hAnsi="仿宋_GB2312" w:eastAsia="仿宋_GB2312" w:cs="仿宋_GB2312"/>
          <w:kern w:val="0"/>
          <w:sz w:val="32"/>
          <w:szCs w:val="32"/>
        </w:rPr>
        <w:t>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24789.00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1.88</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商业服务业等支出</w:t>
      </w:r>
      <w:r>
        <w:rPr>
          <w:rFonts w:hint="eastAsia" w:ascii="仿宋_GB2312" w:hAnsi="仿宋_GB2312" w:eastAsia="仿宋_GB2312" w:cs="仿宋_GB2312"/>
          <w:kern w:val="0"/>
          <w:sz w:val="32"/>
          <w:szCs w:val="32"/>
          <w:u w:val="single"/>
          <w:lang w:val="en-US" w:eastAsia="zh-CN"/>
        </w:rPr>
        <w:t>1231093.00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93.50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24000.00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1.82</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cs="Times New Roman"/>
          <w:sz w:val="30"/>
          <w:szCs w:val="30"/>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1538183.00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1316681.00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85.60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，决算数小于预算数的主要原因</w:t>
      </w:r>
      <w:r>
        <w:rPr>
          <w:rFonts w:hint="eastAsia" w:ascii="仿宋_GB2312" w:hAnsi="仿宋_GB2312" w:eastAsia="仿宋_GB2312" w:cs="仿宋_GB2312"/>
          <w:kern w:val="0"/>
          <w:sz w:val="32"/>
          <w:szCs w:val="32"/>
          <w:lang w:eastAsia="zh-CN"/>
        </w:rPr>
        <w:t>是人员经费按实际支付较年初预算减少</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eastAsia="zh-CN"/>
        </w:rPr>
        <w:t>（按支出功能分类）</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1.社会保障和就业支出较年初预算数减少22764.00元；2.卫生健康支出较年初预算数减少288.00元；3.商业服务业等支出较年初预算数减少182796.00元；4.住房保障支出较年初预算数减少15654.00元。</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1316681</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1260681.00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56000.00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425111.00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元，较年初预算数减少</w:t>
      </w:r>
      <w:r>
        <w:rPr>
          <w:rFonts w:hint="eastAsia" w:ascii="仿宋_GB2312" w:hAnsi="仿宋_GB2312" w:eastAsia="仿宋_GB2312" w:cs="仿宋_GB2312"/>
          <w:sz w:val="32"/>
          <w:szCs w:val="32"/>
          <w:u w:val="single"/>
          <w:lang w:val="en-US" w:eastAsia="zh-CN"/>
        </w:rPr>
        <w:t>58912.00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12.17</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宋体" w:eastAsia="仿宋_GB2312" w:cs="仿宋_GB2312"/>
          <w:color w:val="auto"/>
          <w:sz w:val="32"/>
          <w:szCs w:val="32"/>
          <w:lang w:eastAsia="zh-CN"/>
        </w:rPr>
        <w:t>社保缴费比例调整变化</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3207.00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0.74</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56000.00</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w:t>
      </w:r>
      <w:r>
        <w:rPr>
          <w:rFonts w:hint="eastAsia" w:ascii="仿宋_GB2312" w:hAnsi="宋体" w:eastAsia="仿宋_GB2312" w:cs="仿宋_GB2312"/>
          <w:color w:val="auto"/>
          <w:sz w:val="32"/>
          <w:szCs w:val="32"/>
          <w:lang w:eastAsia="zh-CN"/>
        </w:rPr>
        <w:t>无</w:t>
      </w:r>
      <w:r>
        <w:rPr>
          <w:rFonts w:hint="eastAsia" w:ascii="仿宋_GB2312" w:hAnsi="宋体" w:eastAsia="仿宋_GB2312" w:cs="仿宋_GB2312"/>
          <w:color w:val="auto"/>
          <w:sz w:val="32"/>
          <w:szCs w:val="32"/>
        </w:rPr>
        <w:t>增</w:t>
      </w:r>
      <w:r>
        <w:rPr>
          <w:rFonts w:hint="eastAsia" w:ascii="仿宋_GB2312" w:hAnsi="宋体" w:eastAsia="仿宋_GB2312" w:cs="仿宋_GB2312"/>
          <w:color w:val="auto"/>
          <w:sz w:val="32"/>
          <w:szCs w:val="32"/>
          <w:lang w:eastAsia="zh-CN"/>
        </w:rPr>
        <w:t>减</w:t>
      </w:r>
      <w:r>
        <w:rPr>
          <w:rFonts w:hint="eastAsia" w:ascii="仿宋_GB2312" w:hAnsi="宋体" w:eastAsia="仿宋_GB2312" w:cs="仿宋_GB2312"/>
          <w:color w:val="auto"/>
          <w:sz w:val="32"/>
          <w:szCs w:val="32"/>
        </w:rPr>
        <w:t>；较上年决算数减少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23796.00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29.82</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835570.00</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162590.00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16.28</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宋体" w:eastAsia="仿宋_GB2312" w:cs="仿宋_GB2312"/>
          <w:color w:val="auto"/>
          <w:sz w:val="32"/>
          <w:szCs w:val="32"/>
          <w:lang w:eastAsia="zh-CN"/>
        </w:rPr>
        <w:t>工资和社保缴费变化</w:t>
      </w:r>
      <w:r>
        <w:rPr>
          <w:rFonts w:hint="eastAsia" w:ascii="仿宋_GB2312" w:hAnsi="宋体" w:eastAsia="仿宋_GB2312" w:cs="仿宋_GB2312"/>
          <w:color w:val="auto"/>
          <w:sz w:val="32"/>
          <w:szCs w:val="32"/>
        </w:rPr>
        <w:t>；较上年决算数增加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27970.00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3.46</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hint="eastAsia" w:ascii="仿宋_GB2312" w:hAnsi="仿宋_GB2312" w:eastAsia="仿宋_GB2312" w:cs="仿宋_GB2312"/>
          <w:sz w:val="32"/>
          <w:szCs w:val="32"/>
          <w:u w:val="single"/>
          <w:lang w:val="en-US" w:eastAsia="zh-CN"/>
        </w:rPr>
        <w:t>0</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0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w:t>
      </w:r>
      <w:r>
        <w:rPr>
          <w:rFonts w:hint="eastAsia" w:ascii="仿宋_GB2312" w:hAnsi="宋体" w:eastAsia="仿宋_GB2312" w:cs="仿宋_GB2312"/>
          <w:color w:val="auto"/>
          <w:sz w:val="32"/>
          <w:szCs w:val="32"/>
          <w:lang w:eastAsia="zh-CN"/>
        </w:rPr>
        <w:t>：无</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eastAsia="仿宋_GB2312" w:cs="宋体"/>
          <w:sz w:val="30"/>
          <w:szCs w:val="30"/>
          <w:lang w:eastAsia="zh-CN"/>
        </w:rPr>
        <w:t>：无</w:t>
      </w:r>
      <w:r>
        <w:rPr>
          <w:rFonts w:hint="eastAsia" w:ascii="仿宋_GB2312" w:hAnsi="仿宋_GB2312" w:eastAsia="仿宋_GB2312" w:cs="仿宋_GB2312"/>
          <w:kern w:val="0"/>
          <w:sz w:val="32"/>
          <w:szCs w:val="32"/>
        </w:rPr>
        <w:t>。</w:t>
      </w:r>
    </w:p>
    <w:p>
      <w:pPr>
        <w:pStyle w:val="10"/>
        <w:numPr>
          <w:ilvl w:val="0"/>
          <w:numId w:val="2"/>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eastAsia="仿宋_GB2312"/>
          <w:sz w:val="30"/>
          <w:szCs w:val="30"/>
          <w:lang w:val="en-US" w:eastAsia="zh-CN"/>
        </w:rPr>
        <w:t>0</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eastAsia="仿宋_GB2312" w:cs="宋体"/>
          <w:sz w:val="30"/>
          <w:szCs w:val="30"/>
          <w:lang w:val="en-US" w:eastAsia="zh-CN"/>
        </w:rPr>
        <w:t>0</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lang w:eastAsia="zh-CN"/>
        </w:rPr>
        <w:t>无</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3"/>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b/>
          <w:bCs/>
          <w:kern w:val="0"/>
          <w:sz w:val="32"/>
          <w:szCs w:val="32"/>
          <w:lang w:eastAsia="zh-CN"/>
        </w:rPr>
        <w:t>：无</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。发现的问题及原因：</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。下一步改进措施：</w:t>
      </w:r>
      <w:r>
        <w:rPr>
          <w:rFonts w:hint="eastAsia" w:ascii="仿宋_GB2312" w:hAnsi="仿宋_GB2312" w:eastAsia="仿宋_GB2312" w:cs="仿宋_GB2312"/>
          <w:kern w:val="0"/>
          <w:sz w:val="32"/>
          <w:szCs w:val="32"/>
          <w:lang w:eastAsia="zh-CN"/>
        </w:rPr>
        <w:t>无</w:t>
      </w:r>
      <w:r>
        <w:rPr>
          <w:rFonts w:hint="eastAsia" w:ascii="仿宋_GB2312" w:hAnsi="仿宋_GB2312" w:eastAsia="仿宋_GB2312" w:cs="仿宋_GB2312"/>
          <w:kern w:val="0"/>
          <w:sz w:val="32"/>
          <w:szCs w:val="32"/>
        </w:rPr>
        <w:t>。</w:t>
      </w:r>
    </w:p>
    <w:p>
      <w:pPr>
        <w:spacing w:line="540" w:lineRule="exact"/>
        <w:ind w:firstLine="640" w:firstLineChars="200"/>
        <w:outlineLvl w:val="1"/>
        <w:rPr>
          <w:rFonts w:ascii="仿宋_GB2312" w:hAnsi="仿宋_GB2312" w:eastAsia="仿宋_GB2312" w:cs="Times New Roman"/>
          <w:kern w:val="0"/>
          <w:sz w:val="32"/>
          <w:szCs w:val="32"/>
        </w:rPr>
      </w:pPr>
    </w:p>
    <w:p>
      <w:pPr>
        <w:spacing w:line="540" w:lineRule="exact"/>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p>
    <w:p>
      <w:pPr>
        <w:widowControl/>
        <w:spacing w:line="560" w:lineRule="exact"/>
        <w:ind w:firstLine="480"/>
        <w:jc w:val="left"/>
        <w:rPr>
          <w:rFonts w:hint="eastAsia" w:ascii="微软雅黑" w:hAnsi="微软雅黑" w:eastAsia="微软雅黑" w:cs="微软雅黑"/>
          <w:i w:val="0"/>
          <w:caps w:val="0"/>
          <w:color w:val="666666"/>
          <w:spacing w:val="0"/>
          <w:sz w:val="27"/>
          <w:szCs w:val="27"/>
          <w:lang w:eastAsia="zh-CN"/>
        </w:rPr>
      </w:pP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1.</w:t>
      </w:r>
      <w:r>
        <w:rPr>
          <w:rFonts w:hint="eastAsia" w:ascii="仿宋_GB2312" w:hAnsi="宋体" w:eastAsia="仿宋_GB2312" w:cs="仿宋_GB2312"/>
          <w:b/>
          <w:bCs/>
          <w:kern w:val="0"/>
          <w:sz w:val="32"/>
          <w:szCs w:val="32"/>
          <w:lang w:eastAsia="zh-CN"/>
        </w:rPr>
        <w:t>一般公共预算拨款收入：指财政当年拨付的资金。</w:t>
      </w:r>
      <w:r>
        <w:rPr>
          <w:rFonts w:hint="eastAsia" w:ascii="微软雅黑" w:hAnsi="微软雅黑" w:eastAsia="微软雅黑" w:cs="微软雅黑"/>
          <w:i w:val="0"/>
          <w:caps w:val="0"/>
          <w:color w:val="666666"/>
          <w:spacing w:val="0"/>
          <w:sz w:val="27"/>
          <w:szCs w:val="27"/>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jc w:val="both"/>
        <w:rPr>
          <w:rFonts w:hint="eastAsia" w:ascii="微软雅黑" w:hAnsi="微软雅黑" w:eastAsia="微软雅黑" w:cs="微软雅黑"/>
          <w:i w:val="0"/>
          <w:caps w:val="0"/>
          <w:color w:val="666666"/>
          <w:spacing w:val="0"/>
          <w:sz w:val="27"/>
          <w:szCs w:val="27"/>
        </w:rPr>
      </w:pPr>
      <w:r>
        <w:rPr>
          <w:rFonts w:hint="eastAsia" w:ascii="微软雅黑" w:hAnsi="微软雅黑" w:eastAsia="微软雅黑" w:cs="微软雅黑"/>
          <w:i w:val="0"/>
          <w:caps w:val="0"/>
          <w:color w:val="666666"/>
          <w:spacing w:val="0"/>
          <w:sz w:val="27"/>
          <w:szCs w:val="27"/>
          <w:shd w:val="clear" w:fill="FFFFFF"/>
        </w:rPr>
        <w:t>　　</w:t>
      </w:r>
      <w:r>
        <w:rPr>
          <w:rFonts w:hint="eastAsia" w:ascii="微软雅黑" w:hAnsi="微软雅黑" w:eastAsia="微软雅黑" w:cs="微软雅黑"/>
          <w:i w:val="0"/>
          <w:caps w:val="0"/>
          <w:color w:val="666666"/>
          <w:spacing w:val="0"/>
          <w:sz w:val="27"/>
          <w:szCs w:val="27"/>
          <w:shd w:val="clear" w:fill="FFFFFF"/>
          <w:lang w:val="en-US" w:eastAsia="zh-CN"/>
        </w:rPr>
        <w:t xml:space="preserve"> </w:t>
      </w:r>
      <w:r>
        <w:rPr>
          <w:rFonts w:ascii="仿宋_GB2312" w:hAnsi="宋体" w:eastAsia="仿宋_GB2312" w:cs="仿宋_GB2312"/>
          <w:b/>
          <w:bCs/>
          <w:kern w:val="0"/>
          <w:sz w:val="32"/>
          <w:szCs w:val="32"/>
        </w:rPr>
        <w:t>2.</w:t>
      </w:r>
      <w:r>
        <w:rPr>
          <w:rFonts w:hint="eastAsia" w:ascii="仿宋_GB2312" w:hAnsi="宋体" w:eastAsia="仿宋_GB2312" w:cs="仿宋_GB2312"/>
          <w:b/>
          <w:bCs/>
          <w:kern w:val="0"/>
          <w:sz w:val="32"/>
          <w:szCs w:val="32"/>
          <w:lang w:eastAsia="zh-CN"/>
        </w:rPr>
        <w:t>基本支出：指用于为保障机构正常运转、完成日常工作任务等方面的支出。</w:t>
      </w:r>
      <w:r>
        <w:rPr>
          <w:rFonts w:hint="eastAsia" w:ascii="微软雅黑" w:hAnsi="微软雅黑" w:eastAsia="微软雅黑" w:cs="微软雅黑"/>
          <w:i w:val="0"/>
          <w:caps w:val="0"/>
          <w:color w:val="666666"/>
          <w:spacing w:val="0"/>
          <w:sz w:val="27"/>
          <w:szCs w:val="27"/>
          <w:shd w:val="clear" w:fill="FFFFFF"/>
        </w:rPr>
        <w:t> </w:t>
      </w:r>
    </w:p>
    <w:p>
      <w:pPr>
        <w:widowControl/>
        <w:spacing w:line="560" w:lineRule="exact"/>
        <w:ind w:firstLine="480"/>
        <w:jc w:val="left"/>
        <w:rPr>
          <w:rFonts w:ascii="仿宋_GB2312" w:hAnsi="宋体" w:eastAsia="仿宋_GB2312" w:cs="仿宋_GB2312"/>
          <w:kern w:val="0"/>
          <w:sz w:val="32"/>
          <w:szCs w:val="32"/>
        </w:rPr>
      </w:pPr>
    </w:p>
    <w:p>
      <w:pPr>
        <w:spacing w:line="540" w:lineRule="exact"/>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hint="eastAsia" w:ascii="仿宋_GB2312" w:hAnsi="仿宋_GB2312" w:eastAsia="仿宋_GB2312" w:cs="仿宋_GB2312"/>
          <w:kern w:val="0"/>
          <w:sz w:val="32"/>
          <w:szCs w:val="32"/>
        </w:rPr>
      </w:pPr>
    </w:p>
    <w:p>
      <w:pPr>
        <w:spacing w:line="540" w:lineRule="exact"/>
        <w:ind w:firstLine="640" w:firstLineChars="200"/>
        <w:outlineLvl w:val="1"/>
        <w:rPr>
          <w:rFonts w:hint="eastAsia" w:ascii="仿宋_GB2312" w:hAnsi="仿宋_GB2312" w:eastAsia="仿宋_GB2312" w:cs="Times New Roman"/>
          <w:kern w:val="0"/>
          <w:sz w:val="32"/>
          <w:szCs w:val="32"/>
          <w:lang w:eastAsia="zh-CN"/>
        </w:rPr>
      </w:pPr>
      <w:r>
        <w:rPr>
          <w:rFonts w:hint="eastAsia" w:ascii="仿宋_GB2312" w:hAnsi="仿宋_GB2312" w:eastAsia="仿宋_GB2312" w:cs="仿宋_GB2312"/>
          <w:kern w:val="0"/>
          <w:sz w:val="32"/>
          <w:szCs w:val="32"/>
        </w:rPr>
        <w:t>其他相关资料</w:t>
      </w:r>
      <w:r>
        <w:rPr>
          <w:rFonts w:hint="eastAsia" w:ascii="仿宋_GB2312" w:hAnsi="仿宋_GB2312" w:eastAsia="仿宋_GB2312" w:cs="仿宋_GB2312"/>
          <w:kern w:val="0"/>
          <w:sz w:val="32"/>
          <w:szCs w:val="32"/>
          <w:lang w:eastAsia="zh-CN"/>
        </w:rPr>
        <w:t>：无。</w:t>
      </w:r>
    </w:p>
    <w:p>
      <w:pPr>
        <w:keepNext w:val="0"/>
        <w:keepLines w:val="0"/>
        <w:pageBreakBefore w:val="0"/>
        <w:widowControl w:val="0"/>
        <w:kinsoku/>
        <w:wordWrap/>
        <w:overflowPunct/>
        <w:topLinePunct w:val="0"/>
        <w:autoSpaceDE/>
        <w:autoSpaceDN/>
        <w:bidi w:val="0"/>
        <w:adjustRightInd/>
        <w:snapToGrid/>
        <w:spacing w:line="20" w:lineRule="exact"/>
        <w:textAlignment w:val="auto"/>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E025"/>
    <w:multiLevelType w:val="singleLevel"/>
    <w:tmpl w:val="5D37E025"/>
    <w:lvl w:ilvl="0" w:tentative="0">
      <w:start w:val="1"/>
      <w:numFmt w:val="chineseCounting"/>
      <w:suff w:val="nothing"/>
      <w:lvlText w:val="（%1）"/>
      <w:lvlJc w:val="left"/>
    </w:lvl>
  </w:abstractNum>
  <w:abstractNum w:abstractNumId="1">
    <w:nsid w:val="5D399328"/>
    <w:multiLevelType w:val="singleLevel"/>
    <w:tmpl w:val="5D399328"/>
    <w:lvl w:ilvl="0" w:tentative="0">
      <w:start w:val="2"/>
      <w:numFmt w:val="chineseCounting"/>
      <w:suff w:val="nothing"/>
      <w:lvlText w:val="（%1）"/>
      <w:lvlJc w:val="left"/>
    </w:lvl>
  </w:abstractNum>
  <w:abstractNum w:abstractNumId="2">
    <w:nsid w:val="5D39981E"/>
    <w:multiLevelType w:val="singleLevel"/>
    <w:tmpl w:val="5D39981E"/>
    <w:lvl w:ilvl="0" w:tentative="0">
      <w:start w:val="1"/>
      <w:numFmt w:val="chineseCounting"/>
      <w:suff w:val="nothing"/>
      <w:lvlText w:val="（%1）"/>
      <w:lvlJc w:val="left"/>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1F7336F"/>
    <w:rsid w:val="029A69DA"/>
    <w:rsid w:val="05576F44"/>
    <w:rsid w:val="05760AE6"/>
    <w:rsid w:val="0C4A582D"/>
    <w:rsid w:val="0C6E5077"/>
    <w:rsid w:val="0CC663E0"/>
    <w:rsid w:val="0DFB0D8A"/>
    <w:rsid w:val="1295690B"/>
    <w:rsid w:val="15F86F01"/>
    <w:rsid w:val="16213825"/>
    <w:rsid w:val="163D61FB"/>
    <w:rsid w:val="1773110D"/>
    <w:rsid w:val="17B85435"/>
    <w:rsid w:val="18C47E2A"/>
    <w:rsid w:val="18C62B51"/>
    <w:rsid w:val="1DF730DE"/>
    <w:rsid w:val="1E864B05"/>
    <w:rsid w:val="209A2A95"/>
    <w:rsid w:val="21647FA6"/>
    <w:rsid w:val="221F2724"/>
    <w:rsid w:val="247D79EB"/>
    <w:rsid w:val="248D365C"/>
    <w:rsid w:val="25873058"/>
    <w:rsid w:val="275B6C7B"/>
    <w:rsid w:val="27725FA8"/>
    <w:rsid w:val="28B96604"/>
    <w:rsid w:val="2BC343D6"/>
    <w:rsid w:val="2D100726"/>
    <w:rsid w:val="318115EA"/>
    <w:rsid w:val="34922452"/>
    <w:rsid w:val="361A5311"/>
    <w:rsid w:val="37057C3F"/>
    <w:rsid w:val="39966F4B"/>
    <w:rsid w:val="3A9E740F"/>
    <w:rsid w:val="3AF93DAC"/>
    <w:rsid w:val="3B2117FB"/>
    <w:rsid w:val="3BF4048A"/>
    <w:rsid w:val="3C406A17"/>
    <w:rsid w:val="3D6D460C"/>
    <w:rsid w:val="3FAC0518"/>
    <w:rsid w:val="407110C1"/>
    <w:rsid w:val="40BA705B"/>
    <w:rsid w:val="430D4AA6"/>
    <w:rsid w:val="442F624D"/>
    <w:rsid w:val="48784747"/>
    <w:rsid w:val="4BA20B39"/>
    <w:rsid w:val="4CF2384E"/>
    <w:rsid w:val="513B4D1D"/>
    <w:rsid w:val="52E578E6"/>
    <w:rsid w:val="53C10676"/>
    <w:rsid w:val="54733556"/>
    <w:rsid w:val="55590B65"/>
    <w:rsid w:val="59303FC9"/>
    <w:rsid w:val="5BFC693A"/>
    <w:rsid w:val="5C5E5650"/>
    <w:rsid w:val="5CBC5B52"/>
    <w:rsid w:val="5D8E2C52"/>
    <w:rsid w:val="5F565772"/>
    <w:rsid w:val="60B55A87"/>
    <w:rsid w:val="677856FE"/>
    <w:rsid w:val="68710D59"/>
    <w:rsid w:val="69D0004C"/>
    <w:rsid w:val="6B7B403B"/>
    <w:rsid w:val="6C466912"/>
    <w:rsid w:val="6E9958E8"/>
    <w:rsid w:val="6EB573F9"/>
    <w:rsid w:val="6F7021A4"/>
    <w:rsid w:val="6FD33535"/>
    <w:rsid w:val="706733DD"/>
    <w:rsid w:val="71790296"/>
    <w:rsid w:val="73653878"/>
    <w:rsid w:val="74955779"/>
    <w:rsid w:val="76EB41F7"/>
    <w:rsid w:val="79586F9A"/>
    <w:rsid w:val="79A8029C"/>
    <w:rsid w:val="7B161BE5"/>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page number"/>
    <w:basedOn w:val="6"/>
    <w:qFormat/>
    <w:uiPriority w:val="99"/>
  </w:style>
  <w:style w:type="character" w:customStyle="1" w:styleId="8">
    <w:name w:val="Footer Char"/>
    <w:basedOn w:val="6"/>
    <w:link w:val="2"/>
    <w:semiHidden/>
    <w:qFormat/>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28</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Administrator</cp:lastModifiedBy>
  <cp:lastPrinted>2020-09-08T03:15:16Z</cp:lastPrinted>
  <dcterms:modified xsi:type="dcterms:W3CDTF">2020-09-08T03:17:38Z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