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宋体" w:eastAsia="方正小标宋简体"/>
          <w:color w:val="FF0000"/>
          <w:spacing w:val="40"/>
          <w:sz w:val="90"/>
          <w:szCs w:val="90"/>
        </w:rPr>
      </w:pPr>
    </w:p>
    <w:p>
      <w:pPr>
        <w:pStyle w:val="2"/>
        <w:ind w:left="640" w:firstLine="643"/>
      </w:pPr>
    </w:p>
    <w:p>
      <w:pPr>
        <w:pStyle w:val="2"/>
        <w:ind w:left="640" w:firstLine="643"/>
      </w:pPr>
    </w:p>
    <w:p>
      <w:pPr>
        <w:spacing w:before="217" w:beforeLines="50" w:line="620" w:lineRule="exact"/>
        <w:rPr>
          <w:rFonts w:ascii="仿宋_GB2312"/>
          <w:szCs w:val="32"/>
        </w:rPr>
      </w:pPr>
    </w:p>
    <w:p>
      <w:pPr>
        <w:spacing w:before="217" w:beforeLines="50" w:line="620" w:lineRule="exact"/>
        <w:jc w:val="center"/>
        <w:rPr>
          <w:rFonts w:hint="eastAsia" w:ascii="仿宋_GB2312"/>
          <w:szCs w:val="32"/>
        </w:rPr>
      </w:pPr>
      <w:bookmarkStart w:id="0" w:name="_GoBack"/>
      <w:bookmarkEnd w:id="0"/>
    </w:p>
    <w:p>
      <w:pPr>
        <w:spacing w:before="217" w:beforeLines="50" w:line="620" w:lineRule="exact"/>
        <w:jc w:val="center"/>
        <w:rPr>
          <w:sz w:val="21"/>
          <w:szCs w:val="21"/>
        </w:rPr>
      </w:pPr>
      <w:r>
        <w:rPr>
          <w:rFonts w:hint="eastAsia" w:ascii="仿宋_GB2312"/>
          <w:szCs w:val="32"/>
        </w:rPr>
        <w:t>西司发〔2021〕</w:t>
      </w:r>
      <w:r>
        <w:rPr>
          <w:rFonts w:hint="eastAsia" w:ascii="仿宋_GB2312"/>
          <w:szCs w:val="32"/>
          <w:lang w:val="en-US" w:eastAsia="zh-CN"/>
        </w:rPr>
        <w:t>12</w:t>
      </w:r>
      <w:r>
        <w:rPr>
          <w:rFonts w:hint="eastAsia" w:ascii="仿宋_GB2312"/>
          <w:szCs w:val="32"/>
        </w:rPr>
        <w:t xml:space="preserve">号 </w:t>
      </w:r>
    </w:p>
    <w:p>
      <w:pPr>
        <w:spacing w:line="620" w:lineRule="exact"/>
        <w:jc w:val="center"/>
        <w:rPr>
          <w:rFonts w:ascii="方正小标宋简体" w:hAnsi="方正粗黑宋简体"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关于印发《西吉县司法行政系统矛盾纠纷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“大排查 大调解 ”专项活动实施方案》的通知</w:t>
      </w:r>
    </w:p>
    <w:p>
      <w:pPr>
        <w:spacing w:line="620" w:lineRule="exact"/>
        <w:rPr>
          <w:rFonts w:ascii="仿宋_GB2312" w:hAnsi="仿宋_GB2312" w:cs="仿宋_GB2312"/>
          <w:szCs w:val="32"/>
        </w:rPr>
      </w:pPr>
    </w:p>
    <w:p>
      <w:pPr>
        <w:spacing w:line="62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各司法所、人民调解委员会、机关各办（室）：</w:t>
      </w:r>
    </w:p>
    <w:p>
      <w:pPr>
        <w:spacing w:line="62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现将《</w:t>
      </w:r>
      <w:r>
        <w:rPr>
          <w:rFonts w:hint="eastAsia" w:ascii="仿宋_GB2312" w:hAnsi="仿宋_GB2312" w:cs="仿宋_GB2312"/>
          <w:spacing w:val="10"/>
          <w:szCs w:val="32"/>
        </w:rPr>
        <w:t>西吉县司法行政系统</w:t>
      </w:r>
      <w:r>
        <w:rPr>
          <w:rFonts w:hint="eastAsia" w:ascii="仿宋_GB2312" w:hAnsi="仿宋_GB2312" w:cs="仿宋_GB2312"/>
          <w:spacing w:val="-17"/>
          <w:szCs w:val="32"/>
        </w:rPr>
        <w:t>矛盾纠纷“大排查 大调解 ”专项活动实施方案</w:t>
      </w:r>
      <w:r>
        <w:rPr>
          <w:rFonts w:hint="eastAsia" w:ascii="仿宋_GB2312" w:hAnsi="仿宋_GB2312" w:cs="仿宋_GB2312"/>
          <w:szCs w:val="32"/>
        </w:rPr>
        <w:t xml:space="preserve">》印发给你们，请结合实际，认真抓好贯彻落实。  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tabs>
          <w:tab w:val="left" w:pos="7230"/>
          <w:tab w:val="left" w:pos="7513"/>
        </w:tabs>
        <w:spacing w:line="620" w:lineRule="exact"/>
        <w:ind w:firstLine="5032" w:firstLineChars="1700"/>
        <w:jc w:val="left"/>
        <w:rPr>
          <w:rFonts w:ascii="仿宋_GB2312" w:hAnsi="仿宋_GB2312" w:cs="仿宋_GB2312"/>
          <w:spacing w:val="-12"/>
          <w:szCs w:val="32"/>
        </w:rPr>
      </w:pPr>
      <w:r>
        <w:rPr>
          <w:rFonts w:hint="eastAsia" w:ascii="仿宋_GB2312" w:hAnsi="仿宋_GB2312" w:cs="仿宋_GB2312"/>
          <w:spacing w:val="-12"/>
          <w:szCs w:val="32"/>
        </w:rPr>
        <w:t>西吉县司法局</w:t>
      </w:r>
    </w:p>
    <w:p>
      <w:pPr>
        <w:tabs>
          <w:tab w:val="left" w:pos="7088"/>
        </w:tabs>
        <w:spacing w:line="620" w:lineRule="exact"/>
        <w:ind w:firstLine="4800" w:firstLineChars="15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2021年2月5日</w:t>
      </w:r>
    </w:p>
    <w:p>
      <w:pPr>
        <w:spacing w:line="620" w:lineRule="exact"/>
        <w:ind w:firstLine="640" w:firstLineChars="200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814" w:left="1588" w:header="851" w:footer="992" w:gutter="0"/>
          <w:pgNumType w:fmt="numberInDash" w:start="1"/>
          <w:cols w:space="425" w:num="1"/>
          <w:titlePg/>
          <w:docGrid w:type="lines" w:linePitch="435" w:charSpace="0"/>
        </w:sectPr>
      </w:pPr>
      <w:r>
        <w:rPr>
          <w:rFonts w:hint="eastAsia" w:ascii="仿宋_GB2312"/>
          <w:szCs w:val="32"/>
        </w:rPr>
        <w:t>(此件公开发布)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西吉县司法行政系统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矛盾纠纷“大排查 大调解”专项活动实施方案</w:t>
      </w: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为贯彻落实全国司法厅（局）长会议精神、</w:t>
      </w:r>
      <w:r>
        <w:rPr>
          <w:rFonts w:hint="eastAsia" w:ascii="仿宋_GB2312"/>
          <w:szCs w:val="32"/>
        </w:rPr>
        <w:t>自治区党委全面依法治区委员会办公室《关于坚持发展新时代“枫桥经验”进一步加强调解工作的实施意见》（宁法办发[2020]21号）、</w:t>
      </w:r>
      <w:r>
        <w:rPr>
          <w:rFonts w:hint="eastAsia" w:ascii="仿宋_GB2312" w:hAnsi="仿宋_GB2312" w:cs="仿宋_GB2312"/>
          <w:szCs w:val="32"/>
        </w:rPr>
        <w:t>自治区司法厅《关于印发&lt;矛盾纠纷“大排查 大调解 ”专项活动实施方案&gt;的通知》（宁司通[2021]8号）和平安西吉建设协调小组办公室《关于进一步加强命案防范工作的通知》文件精神，结合《西吉县2021年重点项目、重点工作、创新性工作责任分工方案》，</w:t>
      </w:r>
      <w:r>
        <w:rPr>
          <w:rFonts w:hint="eastAsia" w:ascii="仿宋_GB2312"/>
        </w:rPr>
        <w:t>切实</w:t>
      </w:r>
      <w:r>
        <w:rPr>
          <w:rFonts w:hint="eastAsia" w:ascii="仿宋_GB2312" w:hAnsi="仿宋_GB2312" w:cs="仿宋_GB2312"/>
          <w:szCs w:val="32"/>
        </w:rPr>
        <w:t>做好我县矛盾纠纷排查化解工作，充分发挥各类调解组织在基层社会治理中的积极作用，为建党100周年营造良好的社会环境。经研究决定，从2021年2月5日起，在全县范围内开展矛盾纠纷排查化解专项活动（以下简称专项活动），现就实施专项活动制定如下方案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一、指导思想</w:t>
      </w:r>
    </w:p>
    <w:p>
      <w:pPr>
        <w:spacing w:line="620" w:lineRule="exact"/>
        <w:ind w:firstLine="640" w:firstLineChars="200"/>
      </w:pPr>
      <w:r>
        <w:rPr>
          <w:rFonts w:hint="eastAsia"/>
        </w:rPr>
        <w:t>以习近平新时代中国特色社会主义思想为指导，以防范风险、化解矛盾为主线，在坚持发展新时代“枫桥经验”的基础上，探索构建“四位一体”矛盾纠纷化解新机制，打造具有本土特色的矛盾纠纷多元化解“塞上枫桥”工作模式，让人民调解工作更深入的融入基层社会治理格局。通过开展专项活动，人民调解组织职能作用进一步发挥，服务基层社会治理能力进一步提升，切实把各类矛盾纠纷排查在初始、化解在萌芽，最大限度减少各类民转刑案件和群体性事件的发生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二、工作目标</w:t>
      </w:r>
    </w:p>
    <w:p>
      <w:pPr>
        <w:shd w:val="clear" w:color="auto" w:fill="FFFFFF"/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各</w:t>
      </w:r>
      <w:r>
        <w:rPr>
          <w:rFonts w:hint="eastAsia" w:ascii="仿宋_GB2312" w:hAnsi="仿宋_GB2312" w:cs="仿宋_GB2312"/>
          <w:szCs w:val="32"/>
        </w:rPr>
        <w:t>司法所、调委会、相关办（室）要以我县构建</w:t>
      </w:r>
      <w:r>
        <w:rPr>
          <w:rFonts w:hint="eastAsia"/>
        </w:rPr>
        <w:t>“四位一体”矛盾纠纷化解新机制为抓手，</w:t>
      </w:r>
      <w:r>
        <w:rPr>
          <w:rFonts w:hint="eastAsia" w:ascii="仿宋_GB2312" w:hAnsi="仿宋_GB2312" w:cs="仿宋_GB2312"/>
          <w:szCs w:val="32"/>
        </w:rPr>
        <w:t>充分</w:t>
      </w:r>
      <w:r>
        <w:rPr>
          <w:rFonts w:ascii="仿宋_GB2312" w:hAnsi="仿宋_GB2312" w:cs="仿宋_GB2312"/>
          <w:szCs w:val="32"/>
        </w:rPr>
        <w:t>调动人民调解队伍</w:t>
      </w:r>
      <w:r>
        <w:rPr>
          <w:rFonts w:hint="eastAsia" w:ascii="仿宋_GB2312" w:hAnsi="仿宋_GB2312" w:cs="仿宋_GB2312"/>
          <w:szCs w:val="32"/>
        </w:rPr>
        <w:t>、人民调解组织</w:t>
      </w:r>
      <w:r>
        <w:rPr>
          <w:rFonts w:ascii="仿宋_GB2312" w:hAnsi="仿宋_GB2312" w:cs="仿宋_GB2312"/>
          <w:szCs w:val="32"/>
        </w:rPr>
        <w:t>广泛参与到矛盾纠纷化解活动中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因地制宜</w:t>
      </w:r>
      <w:r>
        <w:rPr>
          <w:rFonts w:hint="eastAsia" w:ascii="仿宋_GB2312" w:hAnsi="仿宋_GB2312" w:cs="仿宋_GB2312"/>
          <w:szCs w:val="32"/>
        </w:rPr>
        <w:t>细化</w:t>
      </w:r>
      <w:r>
        <w:rPr>
          <w:rFonts w:ascii="仿宋_GB2312" w:hAnsi="仿宋_GB2312" w:cs="仿宋_GB2312"/>
          <w:szCs w:val="32"/>
        </w:rPr>
        <w:t>工作措施，做到</w:t>
      </w:r>
      <w:r>
        <w:rPr>
          <w:rFonts w:hint="eastAsia" w:ascii="仿宋_GB2312" w:hAnsi="仿宋_GB2312" w:cs="仿宋_GB2312"/>
          <w:szCs w:val="32"/>
        </w:rPr>
        <w:t>抓</w:t>
      </w:r>
      <w:r>
        <w:rPr>
          <w:rFonts w:ascii="仿宋_GB2312" w:hAnsi="仿宋_GB2312" w:cs="仿宋_GB2312"/>
          <w:szCs w:val="32"/>
        </w:rPr>
        <w:t>重点、找疑点、破难点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保证</w:t>
      </w:r>
      <w:r>
        <w:rPr>
          <w:rFonts w:hint="eastAsia" w:ascii="仿宋_GB2312" w:hAnsi="仿宋_GB2312" w:cs="仿宋_GB2312"/>
          <w:szCs w:val="32"/>
        </w:rPr>
        <w:t>专项活动</w:t>
      </w:r>
      <w:r>
        <w:rPr>
          <w:rFonts w:ascii="仿宋_GB2312" w:hAnsi="仿宋_GB2312" w:cs="仿宋_GB2312"/>
          <w:szCs w:val="32"/>
        </w:rPr>
        <w:t>效果落实到位。力争</w:t>
      </w:r>
      <w:r>
        <w:rPr>
          <w:rFonts w:hint="eastAsia" w:ascii="仿宋_GB2312" w:hAnsi="仿宋_GB2312" w:cs="仿宋_GB2312"/>
          <w:szCs w:val="32"/>
        </w:rPr>
        <w:t>全年人民调解排查化解疑难复杂矛盾纠纷成功率达到95%以上，努力实现“小矛盾不出村（社区）、大矛盾不出乡（镇）”。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三、工作任务</w:t>
      </w:r>
    </w:p>
    <w:p>
      <w:pPr>
        <w:spacing w:line="620" w:lineRule="exact"/>
        <w:ind w:firstLine="643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（一）突出重点领域。</w:t>
      </w:r>
      <w:r>
        <w:rPr>
          <w:rFonts w:hint="eastAsia" w:ascii="仿宋_GB2312" w:hAnsi="仿宋_GB2312" w:cs="仿宋_GB2312"/>
          <w:szCs w:val="32"/>
        </w:rPr>
        <w:t>重点排查涉疫情、婚姻家庭、征地拆迁、农民工工资拖欠、经济纠纷、劳动关系、医患纠纷、环境污染、公共基础设施建设和复转军人群体、非法集资诈骗、电信网络诈骗等易引发重大群体性事件、个人极端事件或集体上访的民生类、涉众型矛盾纠纷，对排查出的重大矛盾纠纷和涉稳问题，要及时向乡（镇）党委、政府主要领导汇报，由乡（镇）党委、政府主抓，联合派出所、基层法庭等相关部门集中攻坚化解，最大限度把人员稳控在当地、纠纷化解在基层，严防因矛盾激化引发影响社会稳定的事件。</w:t>
      </w:r>
      <w:r>
        <w:rPr>
          <w:rFonts w:hint="eastAsia" w:ascii="仿宋_GB2312" w:hAnsi="仿宋_GB2312" w:cs="仿宋_GB2312"/>
          <w:kern w:val="0"/>
          <w:szCs w:val="32"/>
        </w:rPr>
        <w:t>针对疫情后复工复产可能引发的一系列问题，要</w:t>
      </w:r>
      <w:r>
        <w:rPr>
          <w:rFonts w:hint="eastAsia" w:ascii="仿宋_GB2312" w:hAnsi="仿宋_GB2312" w:cs="仿宋_GB2312"/>
          <w:szCs w:val="32"/>
        </w:rPr>
        <w:t>切实加强对邻里纠纷、医疗纠纷、损害赔偿纠纷等相关纠纷信息排查收集，有针对性地进行防控，排查防范因疫情导致的社会群体性事件</w:t>
      </w:r>
      <w:r>
        <w:rPr>
          <w:rFonts w:hint="eastAsia" w:ascii="仿宋_GB2312" w:hAnsi="仿宋_GB2312" w:cs="仿宋_GB2312"/>
          <w:kern w:val="0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要</w:t>
      </w:r>
      <w:r>
        <w:rPr>
          <w:rFonts w:hint="eastAsia" w:ascii="仿宋_GB2312" w:hAnsi="仿宋_GB2312" w:cs="仿宋_GB2312"/>
          <w:kern w:val="0"/>
          <w:szCs w:val="32"/>
        </w:rPr>
        <w:t>充分发挥人民调解职能优势，对标中小微企业案件，尽可能多调解、多和解，保障企业尽快复工复产。</w:t>
      </w:r>
      <w:r>
        <w:rPr>
          <w:rFonts w:hint="eastAsia" w:ascii="仿宋_GB2312" w:hAnsi="仿宋_GB2312" w:cs="仿宋_GB231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（二）突出重点群体。</w:t>
      </w:r>
      <w:r>
        <w:rPr>
          <w:rFonts w:hint="eastAsia" w:ascii="仿宋_GB2312" w:hAnsi="仿宋_GB2312" w:cs="仿宋_GB2312"/>
          <w:szCs w:val="32"/>
        </w:rPr>
        <w:t>要重点关注进城务工人员、县内移民、下岗职工、失地农民、城乡贫困家庭等特殊群体利益，积极做好调处化解工作，坚决纠正损害群众利益的行为。要特别关注农民工返乡后容易引发的邻里纠纷及因婚姻家庭、婚恋关系引发的矛盾纠纷，严防发生民转刑案件和极端个人事件，切实做好“一杀多人”命案防范工作。要充分发挥法治引导、规范、保障、惩戒作用，善于运用法治思维和法治方式解决问题，真正做到依法化解社会矛盾、依法预防违法犯罪、依法规范社会秩序、依法维护社会稳定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（三）突出重点时段。</w:t>
      </w:r>
      <w:r>
        <w:rPr>
          <w:rFonts w:hint="eastAsia" w:ascii="仿宋_GB2312" w:hAnsi="仿宋_GB2312" w:cs="仿宋_GB2312"/>
          <w:szCs w:val="32"/>
        </w:rPr>
        <w:t>重点围绕全国“两会”、春节、“五一”、</w:t>
      </w:r>
      <w:r>
        <w:rPr>
          <w:rFonts w:hint="eastAsia"/>
        </w:rPr>
        <w:t>“七一”</w:t>
      </w:r>
      <w:r>
        <w:rPr>
          <w:rFonts w:hint="eastAsia" w:ascii="仿宋_GB2312" w:hAnsi="仿宋_GB2312" w:cs="仿宋_GB2312"/>
          <w:szCs w:val="32"/>
        </w:rPr>
        <w:t>、</w:t>
      </w:r>
      <w:r>
        <w:rPr>
          <w:rFonts w:hint="eastAsia"/>
        </w:rPr>
        <w:t>国庆节等</w:t>
      </w:r>
      <w:r>
        <w:rPr>
          <w:rFonts w:hint="eastAsia" w:ascii="仿宋_GB2312" w:hAnsi="仿宋_GB2312" w:cs="仿宋_GB2312"/>
          <w:szCs w:val="32"/>
        </w:rPr>
        <w:t>重要时间节点和重大活动，加强车站、广场、商场、餐饮娱乐场所等人口密集场地和道路交通、医疗、物业等矛盾纠纷易发多发领域，开展矛盾纠纷大排查，对摸排出的问题列出责任清单，明确责任、限期化解，确保不漏掉任何一个纠纷隐患、不放过任何一个预警信息，不留下一个盲点死角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四、工作措施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在开展</w:t>
      </w:r>
      <w:r>
        <w:rPr>
          <w:rFonts w:hint="eastAsia" w:ascii="仿宋_GB2312" w:hAnsi="仿宋_GB2312" w:cs="仿宋_GB2312"/>
          <w:kern w:val="0"/>
          <w:szCs w:val="32"/>
        </w:rPr>
        <w:t>专项活动过程</w:t>
      </w:r>
      <w:r>
        <w:rPr>
          <w:rFonts w:hint="eastAsia" w:ascii="仿宋_GB2312" w:hAnsi="仿宋_GB2312" w:cs="仿宋_GB2312"/>
          <w:szCs w:val="32"/>
        </w:rPr>
        <w:t>中，各司法所、各</w:t>
      </w:r>
      <w:r>
        <w:rPr>
          <w:rFonts w:hint="eastAsia" w:ascii="仿宋_GB2312" w:hAnsi="宋体" w:cs="宋体"/>
          <w:kern w:val="0"/>
          <w:szCs w:val="32"/>
        </w:rPr>
        <w:t>调委会、相关办（室）要主动作为，创新落实“四位一体”矛盾纠纷化解新机制，整合资源，多方发力，积极</w:t>
      </w:r>
      <w:r>
        <w:rPr>
          <w:rFonts w:hint="eastAsia" w:ascii="仿宋_GB2312" w:hAnsi="仿宋_GB2312" w:cs="仿宋_GB2312"/>
          <w:szCs w:val="32"/>
        </w:rPr>
        <w:t>动员社会力量共同参与矛盾纠纷排查化解，促使</w:t>
      </w:r>
      <w:r>
        <w:rPr>
          <w:rFonts w:hint="eastAsia" w:ascii="仿宋_GB2312" w:hAnsi="宋体" w:cs="宋体"/>
          <w:kern w:val="0"/>
          <w:szCs w:val="32"/>
        </w:rPr>
        <w:t>群体性事件、民转刑案件、群体性上访事件明显减少，矛盾纠纷调解率、调解成功率、协议履行率、人民群众满意率明显提高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pStyle w:val="4"/>
        <w:spacing w:line="62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（一）坚持创新思维，建立完善“四位一体”矛盾纠纷化解实体平台。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各司法所、调委会、相关办（室）要以我县构建“四位一体”矛盾纠纷化解新机制为契机，着力打造</w:t>
      </w:r>
      <w:r>
        <w:rPr>
          <w:rFonts w:ascii="仿宋_GB2312" w:hAnsi="仿宋_GB2312" w:eastAsia="仿宋_GB2312" w:cs="仿宋_GB2312"/>
          <w:sz w:val="32"/>
          <w:szCs w:val="32"/>
        </w:rPr>
        <w:t>“县级综治与公共法律服务中心、乡镇综治与公共法律服务站、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行政村</w:t>
      </w:r>
      <w:r>
        <w:rPr>
          <w:rFonts w:ascii="仿宋_GB2312" w:hAnsi="仿宋_GB2312" w:eastAsia="仿宋_GB2312" w:cs="仿宋_GB2312"/>
          <w:sz w:val="32"/>
          <w:szCs w:val="32"/>
        </w:rPr>
        <w:t>矛盾纠纷调处与公共法律服务室、自然村评理说事与公共法律服务点”的“四位一体”矛盾纠纷化解</w:t>
      </w:r>
      <w:r>
        <w:rPr>
          <w:rFonts w:hint="eastAsia" w:ascii="仿宋_GB2312" w:hAnsi="仿宋_GB2312" w:eastAsia="仿宋_GB2312" w:cs="仿宋_GB2312"/>
          <w:sz w:val="32"/>
          <w:szCs w:val="32"/>
        </w:rPr>
        <w:t>实体平台，形成全方位、立体式、多层次、多渠道、宽领域的公共法律服务新格局。</w:t>
      </w:r>
    </w:p>
    <w:p>
      <w:pPr>
        <w:spacing w:line="62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_GB2312"/>
          <w:b/>
          <w:szCs w:val="32"/>
        </w:rPr>
        <w:t>一是</w:t>
      </w:r>
      <w:r>
        <w:rPr>
          <w:rFonts w:ascii="仿宋" w:hAnsi="仿宋" w:eastAsia="仿宋" w:cs="仿宋"/>
          <w:szCs w:val="32"/>
        </w:rPr>
        <w:t>完</w:t>
      </w:r>
      <w:r>
        <w:rPr>
          <w:rFonts w:ascii="仿宋_GB2312" w:hAnsi="仿宋_GB2312" w:cs="仿宋_GB2312"/>
          <w:szCs w:val="32"/>
        </w:rPr>
        <w:t>善县级综治与公共法律服务中心“信访+法治”建设，坚持用法治思维和法治方式开展信访工作，建立远程法律咨询平台和信访反映平台，引导信访人网上办理信访事项，依法信访，逐步实现从“行政办理”到“依法治理”，打造信访矛盾化解的“疏通器”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pStyle w:val="4"/>
        <w:spacing w:line="62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贯彻落实自治区“塞上枫桥”精神。推动“网上枫桥”品牌创建，全力打造</w:t>
      </w:r>
      <w:r>
        <w:rPr>
          <w:rFonts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综治与公共法律服务站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“线上咨询+线下服务”矛盾纠纷化解平台，充分利用公共法律服务自助终端设备资源优势,打通法律为民服务“最后一公里”，实现“让数据多跑路、让群众少跑腿”的智慧、方便、快捷的法律咨询方式和矛盾纠纷化解模式。</w:t>
      </w:r>
    </w:p>
    <w:p>
      <w:pPr>
        <w:pStyle w:val="4"/>
        <w:spacing w:line="62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ascii="仿宋_GB2312" w:hAnsi="仿宋_GB2312" w:eastAsia="仿宋_GB2312" w:cs="仿宋_GB2312"/>
          <w:sz w:val="32"/>
          <w:szCs w:val="32"/>
        </w:rPr>
        <w:t>行政村矛盾纠纷调处与公共法律服务室“法律明白人+律师”平台建设，充分发挥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“一村（社区）一法律顾问”人才优势，加大对“法律明白人”的培养，着力</w:t>
      </w:r>
      <w:r>
        <w:rPr>
          <w:rFonts w:ascii="仿宋_GB2312" w:hAnsi="仿宋_GB2312" w:eastAsia="仿宋_GB2312" w:cs="仿宋_GB2312"/>
          <w:sz w:val="32"/>
          <w:szCs w:val="32"/>
        </w:rPr>
        <w:t>提升村民自治水平和矛盾纠纷化解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能力；充分发挥</w:t>
      </w:r>
      <w:r>
        <w:rPr>
          <w:rFonts w:hint="eastAsia" w:ascii="仿宋_GB2312" w:eastAsia="仿宋_GB2312"/>
          <w:sz w:val="32"/>
          <w:szCs w:val="32"/>
        </w:rPr>
        <w:t>法律服务可视电话机作用，实现村级公共法律服务现代化，信息化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line="62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推行“村组长+评理说事点”。落实“法律明白人”的配备，每个村组至少培养1名“法律明白人”，将他们培养成基层法治建设的骨干和榜样，积极协助乡、村两级调委会开展矛盾纠纷排查、重点人群管控、微小型民事纠纷化解，切实将“村组长+评理说事点”从矛盾纠纷“中转站”变成矛盾纠纷“终点站”，形成开门说事、便民议事、专人管事、评理调事、德法共治的“微矛盾调处点”。</w:t>
      </w:r>
    </w:p>
    <w:p>
      <w:pPr>
        <w:widowControl/>
        <w:spacing w:line="620" w:lineRule="exact"/>
        <w:ind w:left="142" w:firstLine="643" w:firstLineChars="20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（二）坚持深排细查、全面掌握。</w:t>
      </w:r>
      <w:r>
        <w:rPr>
          <w:rFonts w:hint="eastAsia" w:ascii="仿宋_GB2312" w:hAnsi="仿宋_GB2312" w:cs="仿宋_GB2312"/>
          <w:szCs w:val="32"/>
        </w:rPr>
        <w:t>要坚持排查在先、关口前移，采取普遍排查和重点排查相结合</w:t>
      </w:r>
      <w:r>
        <w:rPr>
          <w:rFonts w:hint="eastAsia" w:ascii="仿宋_GB2312" w:hAnsi="仿宋_GB2312" w:cs="仿宋_GB2312"/>
          <w:kern w:val="0"/>
          <w:szCs w:val="32"/>
        </w:rPr>
        <w:t>，定期排查和专项排查相结合的方式，认真开展本辖区内矛盾纠纷排查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kern w:val="0"/>
          <w:szCs w:val="32"/>
        </w:rPr>
        <w:t>形成全覆盖、无盲区的网格化大排查工作格局。</w:t>
      </w:r>
    </w:p>
    <w:p>
      <w:pPr>
        <w:widowControl/>
        <w:spacing w:line="620" w:lineRule="exact"/>
        <w:ind w:firstLine="645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一是</w:t>
      </w:r>
      <w:r>
        <w:rPr>
          <w:rFonts w:hint="eastAsia" w:ascii="仿宋_GB2312" w:hAnsi="仿宋_GB2312" w:cs="仿宋_GB2312"/>
          <w:b/>
          <w:kern w:val="0"/>
          <w:szCs w:val="32"/>
        </w:rPr>
        <w:t>普遍排查。</w:t>
      </w:r>
      <w:r>
        <w:rPr>
          <w:rFonts w:hint="eastAsia" w:ascii="仿宋_GB2312" w:hAnsi="仿宋_GB2312" w:cs="仿宋_GB2312"/>
          <w:kern w:val="0"/>
          <w:szCs w:val="32"/>
        </w:rPr>
        <w:t>进一步发挥人民调解“四张网”组织作用，广泛动员司法行政工作人员、各级人民调解员、纠纷信息员、法律明白人深入到村组、社区、企事业单位，全方位排查摸底，了解纠纷信息，掌握纠纷苗头。严格落实村（居）人民调解委员会每周一次、乡（镇）、行业专业每半月一次，县每月一次的矛盾纠纷“两排查一分析”制度。</w:t>
      </w:r>
    </w:p>
    <w:p>
      <w:pPr>
        <w:widowControl/>
        <w:spacing w:line="620" w:lineRule="exact"/>
        <w:ind w:firstLine="645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二是</w:t>
      </w:r>
      <w:r>
        <w:rPr>
          <w:rFonts w:hint="eastAsia" w:ascii="仿宋_GB2312" w:hAnsi="仿宋_GB2312" w:cs="仿宋_GB2312"/>
          <w:b/>
          <w:kern w:val="0"/>
          <w:szCs w:val="32"/>
        </w:rPr>
        <w:t>重点排查。</w:t>
      </w:r>
      <w:r>
        <w:rPr>
          <w:rFonts w:hint="eastAsia" w:ascii="仿宋_GB2312" w:hAnsi="仿宋"/>
          <w:szCs w:val="32"/>
        </w:rPr>
        <w:t>深入村（组）社区、田间地头，</w:t>
      </w:r>
      <w:r>
        <w:rPr>
          <w:rFonts w:hint="eastAsia" w:ascii="仿宋_GB2312" w:hAnsi="仿宋_GB2312" w:cs="仿宋_GB2312"/>
          <w:szCs w:val="32"/>
        </w:rPr>
        <w:t>发挥“人头熟、情况熟”的优势，做实做细矛盾纠纷排查工作。重点排查婚姻家庭纠纷、邻里纠纷、山林土地纠纷及涉及民生的医疗纠纷、交通事故、拖欠农民工工资、劳动争议、征地拆迁等矛盾纠纷，排查越级上访、治安隐患、群体性事件等苗头线索，做到底数清、情况明。</w:t>
      </w:r>
    </w:p>
    <w:p>
      <w:pPr>
        <w:widowControl/>
        <w:spacing w:line="620" w:lineRule="exact"/>
        <w:ind w:firstLine="645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/>
          <w:b/>
          <w:szCs w:val="32"/>
        </w:rPr>
        <w:t>三是专项排查。</w:t>
      </w:r>
      <w:r>
        <w:rPr>
          <w:rFonts w:hint="eastAsia" w:ascii="仿宋_GB2312"/>
          <w:szCs w:val="32"/>
        </w:rPr>
        <w:t>按照全县矛盾纠纷排查化解工作的统一部署，在重要节点、敏感时段，针对重点人群、特定行业、重点领域开展专项排查，把影响社会稳定的各种矛盾隐患掌握清楚，切实做到不漏问题、不遗隐患、不留死角，不放任发展酿成命案。</w:t>
      </w:r>
    </w:p>
    <w:p>
      <w:pPr>
        <w:spacing w:line="620" w:lineRule="exact"/>
        <w:ind w:firstLine="643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（三）坚持分类指导、集中化解。</w:t>
      </w:r>
      <w:r>
        <w:rPr>
          <w:rFonts w:hint="eastAsia" w:ascii="仿宋_GB2312" w:hAnsi="仿宋_GB2312" w:cs="仿宋_GB2312"/>
          <w:szCs w:val="32"/>
        </w:rPr>
        <w:t>坚持抓早抓小、应调尽调。对排查出来的矛盾纠纷，逐一登记建档，归类梳理，因地制宜，因人施策，制定具体化解方案，及时做好化解和预防工作；对于多次调解不成或不宜通过人民调解方式解决的矛盾纠纷，积极引导当事人通过正当合法渠道解决问题；对排查发现可能引起越级上访、矛盾升级激化、治安案件、刑事案件、引发群体性事件和极端事件的矛盾纠纷以及调解不了、无法导入法治轨道的矛盾纠纷，要及时预警，将情况报告乡（镇）党委、政府，依托“四位一体“矛盾纠纷化解实体平台、借鉴使用“1+2+X”矛盾纠纷多元化解模式，集中多方力量及时疏导化解；对于排查中发现的涉黑涉恶线索，要及时报告乡（镇）党委、政府，并将线索报县司法局经严格甄别后作出处理决定；通过分类梳理、集中化解，确保矛盾纠纷不上交、不升级、不蔓延、不转移、不输出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一是化解一般纠纷。</w:t>
      </w:r>
      <w:r>
        <w:rPr>
          <w:rFonts w:hint="eastAsia" w:ascii="仿宋_GB2312" w:hAnsi="仿宋_GB2312" w:cs="仿宋_GB2312"/>
          <w:kern w:val="0"/>
          <w:szCs w:val="32"/>
        </w:rPr>
        <w:t>对在排查过程中发现的邻里、婚姻家庭、房屋宅基地等常见性、多发性矛盾纠纷，坚持抓早、抓小、抓苗头，充分运用</w:t>
      </w:r>
      <w:r>
        <w:rPr>
          <w:rFonts w:hint="eastAsia" w:ascii="仿宋_GB2312"/>
          <w:szCs w:val="32"/>
        </w:rPr>
        <w:t>“村组长+评理说事点”的便捷优势</w:t>
      </w:r>
      <w:r>
        <w:rPr>
          <w:rFonts w:hint="eastAsia" w:ascii="仿宋_GB2312" w:hAnsi="仿宋_GB2312" w:cs="仿宋_GB2312"/>
          <w:kern w:val="0"/>
          <w:szCs w:val="32"/>
        </w:rPr>
        <w:t>及时就地化解，并做好后期回访工作。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二是化解疑难复杂纠纷。</w:t>
      </w:r>
      <w:r>
        <w:rPr>
          <w:rFonts w:hint="eastAsia" w:ascii="仿宋_GB2312" w:hAnsi="仿宋_GB2312" w:cs="仿宋_GB2312"/>
          <w:kern w:val="0"/>
          <w:szCs w:val="32"/>
        </w:rPr>
        <w:t>对于排查出来的疑难复杂矛盾纠纷，乡（镇）党委、政府交办的以及相关部门委托移交的矛盾纠纷，要依托“</w:t>
      </w:r>
      <w:r>
        <w:rPr>
          <w:rFonts w:ascii="仿宋" w:hAnsi="仿宋" w:eastAsia="仿宋" w:cs="仿宋"/>
          <w:szCs w:val="32"/>
        </w:rPr>
        <w:t>乡镇综治与公共法律服务站</w:t>
      </w:r>
      <w:r>
        <w:rPr>
          <w:rFonts w:hint="eastAsia" w:ascii="仿宋_GB2312" w:hAnsi="仿宋_GB2312" w:cs="仿宋_GB2312"/>
          <w:kern w:val="0"/>
          <w:szCs w:val="32"/>
        </w:rPr>
        <w:t>”</w:t>
      </w:r>
      <w:r>
        <w:rPr>
          <w:rFonts w:ascii="仿宋" w:hAnsi="仿宋" w:eastAsia="仿宋" w:cs="仿宋"/>
          <w:szCs w:val="32"/>
        </w:rPr>
        <w:t>平台</w:t>
      </w:r>
      <w:r>
        <w:rPr>
          <w:rFonts w:hint="eastAsia" w:ascii="仿宋" w:hAnsi="仿宋" w:eastAsia="仿宋" w:cs="仿宋"/>
          <w:szCs w:val="32"/>
        </w:rPr>
        <w:t>，</w:t>
      </w:r>
      <w:r>
        <w:rPr>
          <w:rFonts w:hint="eastAsia" w:ascii="仿宋_GB2312" w:hAnsi="仿宋_GB2312" w:cs="仿宋_GB2312"/>
          <w:kern w:val="0"/>
          <w:szCs w:val="32"/>
        </w:rPr>
        <w:t>集中力量、细化方案、采取有效措施最大限度地就地及时化解。对于多年积压、长期未得到有效解决的矛盾纠纷，要协调各相关部门集中攻坚化解。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三是化解行业性专业性纠纷。</w:t>
      </w:r>
      <w:r>
        <w:rPr>
          <w:rFonts w:hint="eastAsia" w:ascii="仿宋_GB2312" w:hAnsi="仿宋_GB2312" w:cs="仿宋_GB2312"/>
          <w:kern w:val="0"/>
          <w:szCs w:val="32"/>
        </w:rPr>
        <w:t>对涉及民生的拖欠农民工工资、劳动争议、消费争议、山林土地、征地拆迁、婚姻家庭、医疗纠纷、物业纠纷、道路交通事故等特殊行业和专门领域的纠纷，依托“</w:t>
      </w:r>
      <w:r>
        <w:rPr>
          <w:rFonts w:ascii="仿宋_GB2312" w:hAnsi="仿宋_GB2312" w:cs="仿宋_GB2312"/>
          <w:kern w:val="0"/>
          <w:szCs w:val="32"/>
        </w:rPr>
        <w:t>县级综治与公共法律服务中心</w:t>
      </w:r>
      <w:r>
        <w:rPr>
          <w:rFonts w:hint="eastAsia" w:ascii="仿宋_GB2312" w:hAnsi="仿宋_GB2312" w:cs="仿宋_GB2312"/>
          <w:kern w:val="0"/>
          <w:szCs w:val="32"/>
        </w:rPr>
        <w:t>”平台建设，</w:t>
      </w:r>
      <w:r>
        <w:rPr>
          <w:rFonts w:ascii="仿宋_GB2312" w:hAnsi="仿宋_GB2312" w:cs="仿宋_GB2312"/>
          <w:kern w:val="0"/>
          <w:szCs w:val="32"/>
        </w:rPr>
        <w:t>协调相关部门</w:t>
      </w:r>
      <w:r>
        <w:rPr>
          <w:rFonts w:hint="eastAsia" w:ascii="仿宋_GB2312" w:hAnsi="仿宋_GB2312" w:cs="仿宋_GB2312"/>
          <w:kern w:val="0"/>
          <w:szCs w:val="32"/>
        </w:rPr>
        <w:t>，</w:t>
      </w:r>
      <w:r>
        <w:rPr>
          <w:rFonts w:ascii="仿宋_GB2312" w:hAnsi="仿宋_GB2312" w:cs="仿宋_GB2312"/>
          <w:kern w:val="0"/>
          <w:szCs w:val="32"/>
        </w:rPr>
        <w:t>整合多方力量</w:t>
      </w:r>
      <w:r>
        <w:rPr>
          <w:rFonts w:hint="eastAsia" w:ascii="仿宋_GB2312" w:hAnsi="仿宋_GB2312" w:cs="仿宋_GB2312"/>
          <w:kern w:val="0"/>
          <w:szCs w:val="32"/>
        </w:rPr>
        <w:t>及时、专业、高效的化解。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四是化解热点难点纠纷。</w:t>
      </w:r>
      <w:r>
        <w:rPr>
          <w:rFonts w:hint="eastAsia" w:ascii="仿宋_GB2312" w:hAnsi="仿宋_GB2312" w:cs="仿宋_GB2312"/>
          <w:kern w:val="0"/>
          <w:szCs w:val="32"/>
        </w:rPr>
        <w:t>要紧紧围绕党委、政府工作大局，聚焦党委、政府关注和人民群众关心的社会热点、难点纠纷开展工作，切实提高对社会热点、敏感问题的应对能力，为开展重大活动、完成重大任务、应对重大事件做好服务。</w:t>
      </w:r>
    </w:p>
    <w:p>
      <w:pPr>
        <w:widowControl/>
        <w:spacing w:line="620" w:lineRule="exact"/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五是防止纠纷激化。</w:t>
      </w:r>
      <w:r>
        <w:rPr>
          <w:rFonts w:hint="eastAsia" w:ascii="仿宋_GB2312" w:hAnsi="仿宋_GB2312" w:cs="仿宋_GB2312"/>
          <w:kern w:val="0"/>
          <w:szCs w:val="32"/>
        </w:rPr>
        <w:t>要积极开展预防激化工作，在调解纠纷过程中，人民调解组织对于有可能激化的矛盾纠纷，应当采取有针对性的预防措施；对有可能引起治安案件、刑事案件的纠纷，要在稳定事态的基础上及时上报，配合乡（镇）党委、政府及有关部门疏导化解。</w:t>
      </w:r>
    </w:p>
    <w:p>
      <w:pPr>
        <w:spacing w:line="620" w:lineRule="exact"/>
        <w:ind w:firstLine="482" w:firstLineChars="15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（四）坚持分析研判，落实责任。</w:t>
      </w:r>
      <w:r>
        <w:rPr>
          <w:rFonts w:hint="eastAsia" w:ascii="仿宋_GB2312" w:hAnsi="仿宋_GB2312" w:cs="仿宋_GB2312"/>
          <w:szCs w:val="32"/>
        </w:rPr>
        <w:t>要按照“预防在先、警示在先”的原则，加强矛盾纠纷的分析和研判，健全完善矛盾纠纷信息报送和“零报告”制度，有针对性的开展预防化解工作，立足抓小防扩大、抓早防升级、抓细防疏漏、抓点防隐患，对重大矛盾和涉稳事件要随发随报，及时续报，不得瞒报、误报、迟报。特别是对涉疫情事件要及时汇报、及时对接、及时跟进。严格按照“属地管理”“网格责任”的原则，明确职责任务，深入一线化解矛盾纠纷，切实做到“小事不出村（社区）、大事不出乡（镇）、矛盾不上交”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 xml:space="preserve"> (五)坚持立足长远，健全机制。</w:t>
      </w:r>
      <w:r>
        <w:rPr>
          <w:rFonts w:hint="eastAsia" w:ascii="仿宋_GB2312" w:hAnsi="仿宋_GB2312" w:cs="仿宋_GB2312"/>
          <w:szCs w:val="32"/>
        </w:rPr>
        <w:t>不断健全完善矛盾纠纷排查化解长效机</w:t>
      </w:r>
      <w:r>
        <w:rPr>
          <w:rFonts w:hint="eastAsia" w:ascii="仿宋_GB2312" w:hAnsi="仿宋_GB2312" w:cs="仿宋_GB2312"/>
          <w:kern w:val="0"/>
          <w:szCs w:val="32"/>
        </w:rPr>
        <w:t>制，探索建立“四位一体”矛盾纠纷化解相关制度，推动矛盾纠纷化解工作规范化、制度化、经常化。建立健全适应新形势要求的人民调解工作考核、奖惩等制度,制定必要的</w:t>
      </w:r>
      <w:r>
        <w:rPr>
          <w:rFonts w:hint="eastAsia" w:ascii="仿宋_GB2312" w:hAnsi="仿宋_GB2312" w:cs="仿宋_GB2312"/>
          <w:szCs w:val="32"/>
        </w:rPr>
        <w:t>联络员制度、法律明白人相关制度、重大矛盾纠纷分析研判制度、信息反馈制度和档案管理等制度。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五、时间步骤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专项活动从2021年2月5日开始， 2021年11月31日结束，分为三个阶段：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（一）动员部署阶段（2月5日至2月15日）。</w:t>
      </w:r>
      <w:r>
        <w:rPr>
          <w:rFonts w:hint="eastAsia" w:ascii="仿宋_GB2312" w:hAnsi="仿宋_GB2312" w:cs="仿宋_GB2312"/>
          <w:iCs/>
          <w:szCs w:val="32"/>
        </w:rPr>
        <w:t>县司法局通过召开专门会议，对我县司法行政系统矛盾纠纷“大排查 大调解”专项活动</w:t>
      </w:r>
      <w:r>
        <w:rPr>
          <w:rFonts w:hint="eastAsia" w:ascii="仿宋_GB2312"/>
          <w:szCs w:val="32"/>
        </w:rPr>
        <w:t>作出部署安排。各司法所、调委会要进一步</w:t>
      </w:r>
      <w:r>
        <w:rPr>
          <w:rFonts w:hint="eastAsia" w:ascii="仿宋_GB2312" w:hAnsi="仿宋_GB2312" w:cs="仿宋_GB2312"/>
          <w:szCs w:val="32"/>
        </w:rPr>
        <w:t>细化方案，明确任务，落实责任，切实调动广大司法行政工作人员、各级人民调解员、纠纷信息员、法律明白人和人民调解组织积极参与到专项活动当中，</w:t>
      </w:r>
      <w:r>
        <w:rPr>
          <w:rFonts w:hint="eastAsia" w:ascii="仿宋_GB2312"/>
          <w:szCs w:val="32"/>
        </w:rPr>
        <w:t>同时，要充分利用媒体加强专项活动开展情况的报道，营造良好的舆论氛围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（二）全面实施阶段（2月16日至10月31日）。</w:t>
      </w:r>
      <w:r>
        <w:rPr>
          <w:rFonts w:hint="eastAsia" w:ascii="仿宋_GB2312" w:hAnsi="仿宋_GB2312" w:cs="仿宋_GB2312"/>
          <w:b/>
          <w:kern w:val="0"/>
          <w:szCs w:val="32"/>
        </w:rPr>
        <w:t>一要</w:t>
      </w:r>
      <w:r>
        <w:rPr>
          <w:rFonts w:hint="eastAsia" w:ascii="仿宋_GB2312" w:hAnsi="仿宋_GB2312" w:cs="仿宋_GB2312"/>
          <w:kern w:val="0"/>
          <w:szCs w:val="32"/>
        </w:rPr>
        <w:t>细化落实措施。坚持问题导向，对各类矛盾纠纷和苗头性隐患进行全面、深入、细致的拉网式大排查，充分掌握矛盾纠纷的数量、性质、类型和解决情况。</w:t>
      </w:r>
      <w:r>
        <w:rPr>
          <w:rFonts w:hint="eastAsia" w:ascii="仿宋_GB2312" w:hAnsi="仿宋_GB2312" w:cs="仿宋_GB2312"/>
          <w:b/>
          <w:kern w:val="0"/>
          <w:szCs w:val="32"/>
        </w:rPr>
        <w:t>二要</w:t>
      </w:r>
      <w:r>
        <w:rPr>
          <w:rFonts w:hint="eastAsia" w:ascii="仿宋_GB2312" w:hAnsi="仿宋_GB2312" w:cs="仿宋_GB2312"/>
          <w:kern w:val="0"/>
          <w:szCs w:val="32"/>
        </w:rPr>
        <w:t>建立工作台账。为动态掌控和化解各类矛盾纠纷提供基础依据。</w:t>
      </w:r>
      <w:r>
        <w:rPr>
          <w:rFonts w:hint="eastAsia" w:ascii="仿宋_GB2312" w:hAnsi="仿宋_GB2312" w:cs="仿宋_GB2312"/>
          <w:b/>
          <w:kern w:val="0"/>
          <w:szCs w:val="32"/>
        </w:rPr>
        <w:t>三要</w:t>
      </w:r>
      <w:r>
        <w:rPr>
          <w:rFonts w:hint="eastAsia" w:ascii="仿宋_GB2312" w:hAnsi="仿宋_GB2312" w:cs="仿宋_GB2312"/>
          <w:kern w:val="0"/>
          <w:szCs w:val="32"/>
        </w:rPr>
        <w:t>建立矛盾纠纷排查的长效机制，实现矛盾纠纷排查工作的常态化。</w:t>
      </w:r>
      <w:r>
        <w:rPr>
          <w:rFonts w:hint="eastAsia" w:ascii="仿宋_GB2312" w:hAnsi="仿宋_GB2312" w:cs="仿宋_GB2312"/>
          <w:b/>
          <w:kern w:val="0"/>
          <w:szCs w:val="32"/>
        </w:rPr>
        <w:t>四要</w:t>
      </w:r>
      <w:r>
        <w:rPr>
          <w:rFonts w:hint="eastAsia" w:ascii="仿宋_GB2312" w:hAnsi="仿宋_GB2312" w:cs="仿宋_GB2312"/>
          <w:kern w:val="0"/>
          <w:szCs w:val="32"/>
        </w:rPr>
        <w:t>试点推行“四位一体”矛盾纠纷化解新机制，着力打造“四位一体”矛盾纠纷化解实体平台，确保每个</w:t>
      </w:r>
      <w:r>
        <w:rPr>
          <w:rFonts w:ascii="仿宋_GB2312" w:hAnsi="仿宋_GB2312" w:cs="仿宋_GB2312"/>
          <w:kern w:val="0"/>
          <w:szCs w:val="32"/>
        </w:rPr>
        <w:t>乡</w:t>
      </w:r>
      <w:r>
        <w:rPr>
          <w:rFonts w:hint="eastAsia" w:ascii="仿宋_GB2312" w:hAnsi="仿宋_GB2312" w:cs="仿宋_GB2312"/>
          <w:kern w:val="0"/>
          <w:szCs w:val="32"/>
        </w:rPr>
        <w:t>（镇）至少打造2个</w:t>
      </w:r>
      <w:r>
        <w:rPr>
          <w:rFonts w:ascii="仿宋_GB2312" w:hAnsi="仿宋_GB2312" w:cs="仿宋_GB2312"/>
          <w:kern w:val="0"/>
          <w:szCs w:val="32"/>
        </w:rPr>
        <w:t>“法律明白人+律师”公共法律服务室和</w:t>
      </w:r>
      <w:r>
        <w:rPr>
          <w:rFonts w:hint="eastAsia" w:ascii="仿宋_GB2312" w:hAnsi="仿宋_GB2312" w:cs="仿宋_GB2312"/>
          <w:kern w:val="0"/>
          <w:szCs w:val="32"/>
        </w:rPr>
        <w:t>2个</w:t>
      </w:r>
      <w:r>
        <w:rPr>
          <w:rFonts w:ascii="仿宋_GB2312" w:hAnsi="仿宋_GB2312" w:cs="仿宋_GB2312"/>
          <w:kern w:val="0"/>
          <w:szCs w:val="32"/>
        </w:rPr>
        <w:t>“村组长+评理说事</w:t>
      </w:r>
      <w:r>
        <w:rPr>
          <w:rFonts w:hint="eastAsia" w:ascii="仿宋_GB2312" w:hAnsi="仿宋_GB2312" w:cs="仿宋_GB2312"/>
          <w:kern w:val="0"/>
          <w:szCs w:val="32"/>
        </w:rPr>
        <w:t>点</w:t>
      </w:r>
      <w:r>
        <w:rPr>
          <w:rFonts w:ascii="仿宋_GB2312" w:hAnsi="仿宋_GB2312" w:cs="仿宋_GB2312"/>
          <w:kern w:val="0"/>
          <w:szCs w:val="32"/>
        </w:rPr>
        <w:t>”</w:t>
      </w:r>
      <w:r>
        <w:rPr>
          <w:rFonts w:hint="eastAsia" w:ascii="仿宋_GB2312" w:hAnsi="仿宋_GB2312" w:cs="仿宋_GB2312"/>
          <w:kern w:val="0"/>
          <w:szCs w:val="32"/>
        </w:rPr>
        <w:t>，切实做到对矛盾纠纷早发现、早预防，早介入、早化解。人民参与和促进法治室和公共法律服务中心要加强检查指导，定期深入基层了解活动开展情况，确保专项活动取得实效。</w:t>
      </w:r>
    </w:p>
    <w:p>
      <w:pPr>
        <w:spacing w:line="620" w:lineRule="exact"/>
        <w:ind w:firstLine="643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（三）总结提高阶段（11月1日至11月31日）。</w:t>
      </w:r>
      <w:r>
        <w:rPr>
          <w:rFonts w:hint="eastAsia" w:ascii="仿宋_GB2312" w:hAnsi="仿宋_GB2312" w:cs="仿宋_GB2312"/>
          <w:kern w:val="0"/>
          <w:szCs w:val="32"/>
        </w:rPr>
        <w:t>坚持边排查、边化解、边总结、边提高，加强对矛盾纠纷排查化解预防工作的研究；各司法所、调委会要积极探索建立“塞上枫桥”西吉模式，总结好、提炼好本地“四位一体”矛盾纠纷化解新机制运行情况，形成“一所一特色、一所一品牌、一所一亮点”的矛盾纠纷化解新格局。同时，要注意发现和树立活动中涌现出的先进典型，总结、宣传和推广先进的经验和事迹，充分发挥先进典型的示范和带动作用。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六、工作要求</w:t>
      </w:r>
    </w:p>
    <w:p>
      <w:pPr>
        <w:spacing w:line="620" w:lineRule="exact"/>
        <w:ind w:firstLine="643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（一）加强组织领导。</w:t>
      </w:r>
      <w:r>
        <w:rPr>
          <w:rFonts w:hint="eastAsia" w:ascii="仿宋_GB2312" w:hAnsi="宋体" w:cs="宋体"/>
          <w:kern w:val="0"/>
          <w:szCs w:val="32"/>
        </w:rPr>
        <w:t>各司法所、调委会要充分认识</w:t>
      </w:r>
      <w:r>
        <w:rPr>
          <w:rFonts w:hint="eastAsia" w:ascii="仿宋_GB2312" w:hAnsi="仿宋_GB2312" w:cs="仿宋_GB2312"/>
          <w:szCs w:val="32"/>
        </w:rPr>
        <w:t>矛盾纠纷排查化解专项活动</w:t>
      </w:r>
      <w:r>
        <w:rPr>
          <w:rFonts w:hint="eastAsia" w:ascii="仿宋_GB2312" w:hAnsi="宋体" w:cs="宋体"/>
          <w:kern w:val="0"/>
          <w:szCs w:val="32"/>
        </w:rPr>
        <w:t>的重要性，</w:t>
      </w:r>
      <w:r>
        <w:rPr>
          <w:rFonts w:hint="eastAsia" w:ascii="仿宋_GB2312" w:hAnsi="仿宋_GB2312" w:cs="仿宋_GB2312"/>
          <w:szCs w:val="32"/>
        </w:rPr>
        <w:t>把专项活动作为司法行政全年的重点工作，</w:t>
      </w:r>
      <w:r>
        <w:rPr>
          <w:rFonts w:hint="eastAsia" w:ascii="仿宋_GB2312" w:hAnsi="宋体" w:cs="宋体"/>
          <w:kern w:val="0"/>
          <w:szCs w:val="32"/>
        </w:rPr>
        <w:t>强化部门协同，形成工作合力，推进</w:t>
      </w:r>
      <w:r>
        <w:rPr>
          <w:rFonts w:hint="eastAsia" w:ascii="仿宋_GB2312" w:hAnsi="仿宋_GB2312" w:cs="仿宋_GB2312"/>
          <w:szCs w:val="32"/>
        </w:rPr>
        <w:t>专项活动在全县落地开花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shd w:val="clear" w:color="auto" w:fill="FFFFFF"/>
        <w:spacing w:line="620" w:lineRule="exact"/>
        <w:ind w:firstLine="200"/>
        <w:rPr>
          <w:rFonts w:ascii="仿宋_GB2312" w:hAnsi="宋体" w:cs="宋体"/>
          <w:kern w:val="0"/>
          <w:szCs w:val="32"/>
        </w:rPr>
      </w:pPr>
      <w:r>
        <w:rPr>
          <w:rFonts w:hint="eastAsia" w:ascii="楷体_GB2312" w:eastAsia="楷体_GB2312"/>
          <w:szCs w:val="32"/>
        </w:rPr>
        <w:t xml:space="preserve">  </w:t>
      </w:r>
      <w:r>
        <w:rPr>
          <w:rFonts w:hint="eastAsia" w:ascii="楷体_GB2312" w:eastAsia="楷体_GB2312"/>
          <w:b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szCs w:val="32"/>
        </w:rPr>
        <w:t>加强指导支持</w:t>
      </w:r>
      <w:r>
        <w:rPr>
          <w:rFonts w:hint="eastAsia" w:ascii="楷体_GB2312" w:eastAsia="楷体_GB2312"/>
          <w:b/>
          <w:szCs w:val="32"/>
        </w:rPr>
        <w:t>。</w:t>
      </w:r>
      <w:r>
        <w:rPr>
          <w:rFonts w:hint="eastAsia" w:ascii="仿宋_GB2312" w:hAnsi="仿宋_GB2312" w:cs="仿宋_GB2312"/>
          <w:kern w:val="0"/>
          <w:szCs w:val="32"/>
        </w:rPr>
        <w:t>局机关相关办（室）要落实工作职责，指导司法所、各级调解组织细化实化工作措施，确保专项活动指导到位，排查到位，纠纷解决到位，落实效果到位。</w:t>
      </w:r>
    </w:p>
    <w:p>
      <w:pPr>
        <w:spacing w:line="620" w:lineRule="exact"/>
        <w:ind w:firstLine="569" w:firstLineChars="177"/>
        <w:rPr>
          <w:rFonts w:ascii="仿宋_GB2312" w:hAnsi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（三）加强典型引领。</w:t>
      </w:r>
      <w:r>
        <w:rPr>
          <w:rFonts w:hint="eastAsia" w:ascii="仿宋_GB2312" w:hAnsi="仿宋_GB2312" w:cs="仿宋_GB2312"/>
          <w:kern w:val="0"/>
          <w:szCs w:val="32"/>
        </w:rPr>
        <w:t>注重提炼形成可推广、可复制的经验做法，不断完善辖区内矛盾纠纷排查化解思路和措施，适时总结推广典型经验和先进事迹，激发人民调解队伍工作的热情和干劲。</w:t>
      </w:r>
    </w:p>
    <w:p>
      <w:pPr>
        <w:spacing w:line="620" w:lineRule="exact"/>
        <w:ind w:firstLine="569" w:firstLineChars="177"/>
        <w:rPr>
          <w:rFonts w:ascii="仿宋_GB2312" w:hAnsi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（四）加强信息报送。</w:t>
      </w:r>
      <w:r>
        <w:rPr>
          <w:rFonts w:hint="eastAsia" w:ascii="仿宋_GB2312" w:hAnsi="仿宋_GB2312" w:cs="仿宋_GB2312"/>
          <w:kern w:val="0"/>
          <w:szCs w:val="32"/>
        </w:rPr>
        <w:t>各司法所、调委会要将活动开展情况、经验做法和成效及时报送县司法局，同时，按照人民调解典型案例报送任务分配情况，及时报送典型案例。</w:t>
      </w:r>
    </w:p>
    <w:p>
      <w:pPr>
        <w:tabs>
          <w:tab w:val="left" w:pos="4739"/>
        </w:tabs>
        <w:spacing w:line="620" w:lineRule="exac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</w:t>
      </w:r>
    </w:p>
    <w:p>
      <w:pPr>
        <w:pStyle w:val="2"/>
        <w:ind w:left="640" w:firstLine="643"/>
      </w:pPr>
    </w:p>
    <w:p>
      <w:pPr>
        <w:pStyle w:val="2"/>
        <w:spacing w:line="620" w:lineRule="exact"/>
        <w:ind w:left="640" w:firstLine="643"/>
      </w:pPr>
    </w:p>
    <w:p>
      <w:pPr>
        <w:pStyle w:val="2"/>
        <w:spacing w:line="620" w:lineRule="exact"/>
        <w:ind w:left="0" w:leftChars="0" w:firstLine="0" w:firstLineChars="0"/>
        <w:rPr>
          <w:sz w:val="21"/>
          <w:szCs w:val="21"/>
        </w:rPr>
      </w:pPr>
    </w:p>
    <w:p>
      <w:pPr>
        <w:pStyle w:val="2"/>
        <w:spacing w:line="620" w:lineRule="exact"/>
        <w:ind w:left="0" w:leftChars="0" w:firstLine="0" w:firstLineChars="0"/>
        <w:rPr>
          <w:sz w:val="21"/>
          <w:szCs w:val="21"/>
        </w:rPr>
      </w:pPr>
    </w:p>
    <w:p>
      <w:pPr>
        <w:spacing w:line="62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pict>
          <v:line id="_x0000_s1026" o:spid="_x0000_s1026" o:spt="20" style="position:absolute;left:0pt;margin-left:2.25pt;margin-top:2pt;height:0pt;width:443.25pt;z-index:251659264;mso-width-relative:page;mso-height-relative:page;" coordsize="21600,21600" o:gfxdata="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magK9MAAAAFAQAADwAAAAAAAAABACAAAAAiAAAAZHJzL2Rvd25yZXYueG1sUEsBAhQAFAAAAAgA&#10;h07iQPenaW3xAQAA5gMAAA4AAAAAAAAAAQAgAAAAIgEAAGRycy9lMm9Eb2MueG1sUEsFBgAAAAAG&#10;AAYAWQEAAIU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cs="仿宋_GB2312"/>
          <w:sz w:val="28"/>
          <w:szCs w:val="28"/>
        </w:rPr>
        <w:t xml:space="preserve">报送：县委政法委、自治区司法厅、固原市司法局                    </w:t>
      </w:r>
    </w:p>
    <w:p>
      <w:pPr>
        <w:spacing w:line="620" w:lineRule="exact"/>
        <w:ind w:right="-480" w:rightChars="-1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pict>
          <v:line id="_x0000_s1027" o:spid="_x0000_s1027" o:spt="20" style="position:absolute;left:0pt;margin-left:0.75pt;margin-top:33.85pt;height:0pt;width:452.05pt;z-index:251662336;mso-width-relative:page;mso-height-relative:page;" coordsize="21600,21600" o:gfxdata="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2OYgNMAAAAHAQAADwAAAAAAAAABACAAAAAiAAAAZHJzL2Rvd25yZXYueG1sUEsBAhQAFAAAAAgA&#10;h07iQFK1xHPxAQAA5gMAAA4AAAAAAAAAAQAgAAAAIgEAAGRycy9lMm9Eb2MueG1sUEsFBgAAAAAG&#10;AAYAWQEAAIU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cs="仿宋_GB2312"/>
          <w:sz w:val="28"/>
          <w:szCs w:val="28"/>
        </w:rPr>
        <w:pict>
          <v:line id="_x0000_s1028" o:spid="_x0000_s1028" o:spt="20" style="position:absolute;left:0pt;margin-left:0.75pt;margin-top:3.25pt;height:0pt;width:447pt;z-index:251660288;mso-width-relative:page;mso-height-relative:page;" coordsize="21600,21600" o:gfxdata="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TY&#10;XovRAAAABQEAAA8AAAAAAAAAAQAgAAAAIgAAAGRycy9kb3ducmV2LnhtbFBLAQIUABQAAAAIAIdO&#10;4kD48YAD8QEAAOYDAAAOAAAAAAAAAAEAIAAAACABAABkcnMvZTJvRG9jLnhtbFBLBQYAAAAABgAG&#10;AFkBAACD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cs="仿宋_GB2312"/>
          <w:sz w:val="28"/>
          <w:szCs w:val="28"/>
        </w:rPr>
        <w:t xml:space="preserve">西吉县司法局     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2021年2月5 日印发</w:t>
      </w:r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6TDmaZQIAABEFAAAOAAAAAAAAAAAAAAAAAC4CAABkcnMvZTJvRG9j&#10;LnhtbFBLAQItABQABgAIAAAAIQBxqtG51wAAAAUBAAAPAAAAAAAAAAAAAAAAAL8EAABkcnMvZG93&#10;bnJldi54bWxQSwUGAAAAAAQABADzAA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8" o:spid="_x0000_s2051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EZAIAABEFAAAOAAAAZHJzL2Uyb0RvYy54bWysVE1uEzEU3iNxB8t7OmkrqijKpAqtipAq&#10;WlEQa8djNyNsP8t2MxMOADdgxYY95+o5+OzJpKiwKWLjeeP3/33v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2T80RkAgAAEQUAAA4AAAAAAAAAAAAAAAAALgIAAGRycy9lMm9Eb2Mu&#10;eG1sUEsBAi0AFAAGAAgAAAAhAHGq0bnXAAAABQEAAA8AAAAAAAAAAAAAAAAAvgQAAGRycy9kb3du&#10;cmV2LnhtbFBLBQYAAAAABAAEAPMA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9" o:spid="_x0000_s2049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+sZQIAABEFAAAOAAAAZHJzL2Uyb0RvYy54bWysVE1uEzEU3iNxB8t7OmlRqz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+9PJ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+t0+sZQIAABEFAAAOAAAAAAAAAAAAAAAAAC4CAABkcnMvZTJvRG9j&#10;LnhtbFBLAQItABQABgAIAAAAIQBxqtG51wAAAAUBAAAPAAAAAAAAAAAAAAAAAL8EAABkcnMvZG93&#10;bnJldi54bWxQSwUGAAAAAAQABADzAA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94D"/>
    <w:rsid w:val="000019C6"/>
    <w:rsid w:val="000035F4"/>
    <w:rsid w:val="000075A6"/>
    <w:rsid w:val="00041A6F"/>
    <w:rsid w:val="000A76CE"/>
    <w:rsid w:val="000F5857"/>
    <w:rsid w:val="0010176E"/>
    <w:rsid w:val="001053B3"/>
    <w:rsid w:val="001410A8"/>
    <w:rsid w:val="00161F07"/>
    <w:rsid w:val="00174CA1"/>
    <w:rsid w:val="00177F34"/>
    <w:rsid w:val="001D2FFF"/>
    <w:rsid w:val="001D69AC"/>
    <w:rsid w:val="002044BB"/>
    <w:rsid w:val="002203FC"/>
    <w:rsid w:val="002550C1"/>
    <w:rsid w:val="00284C93"/>
    <w:rsid w:val="002C5E09"/>
    <w:rsid w:val="002E74AF"/>
    <w:rsid w:val="002F0497"/>
    <w:rsid w:val="002F3CF1"/>
    <w:rsid w:val="003129F3"/>
    <w:rsid w:val="00321C0E"/>
    <w:rsid w:val="00325922"/>
    <w:rsid w:val="00332161"/>
    <w:rsid w:val="00346825"/>
    <w:rsid w:val="00363805"/>
    <w:rsid w:val="00367F55"/>
    <w:rsid w:val="00395148"/>
    <w:rsid w:val="003A4F2B"/>
    <w:rsid w:val="003B72AC"/>
    <w:rsid w:val="003E7448"/>
    <w:rsid w:val="00406FF5"/>
    <w:rsid w:val="00446B55"/>
    <w:rsid w:val="00492763"/>
    <w:rsid w:val="00494609"/>
    <w:rsid w:val="00520BE8"/>
    <w:rsid w:val="00536D1E"/>
    <w:rsid w:val="00540FA5"/>
    <w:rsid w:val="00570193"/>
    <w:rsid w:val="00574B94"/>
    <w:rsid w:val="005E751F"/>
    <w:rsid w:val="005F5B00"/>
    <w:rsid w:val="00644D93"/>
    <w:rsid w:val="00654478"/>
    <w:rsid w:val="0065509D"/>
    <w:rsid w:val="006569BF"/>
    <w:rsid w:val="00680CEF"/>
    <w:rsid w:val="00683A41"/>
    <w:rsid w:val="006B5F56"/>
    <w:rsid w:val="006D141B"/>
    <w:rsid w:val="006D24E6"/>
    <w:rsid w:val="006E049E"/>
    <w:rsid w:val="00721BE3"/>
    <w:rsid w:val="00746D86"/>
    <w:rsid w:val="007649D7"/>
    <w:rsid w:val="007813D6"/>
    <w:rsid w:val="00787FD8"/>
    <w:rsid w:val="00795CCF"/>
    <w:rsid w:val="007B04E5"/>
    <w:rsid w:val="007B44DA"/>
    <w:rsid w:val="00820255"/>
    <w:rsid w:val="00842E95"/>
    <w:rsid w:val="00852C4B"/>
    <w:rsid w:val="00865DF0"/>
    <w:rsid w:val="00876D70"/>
    <w:rsid w:val="008A3568"/>
    <w:rsid w:val="008E0CB8"/>
    <w:rsid w:val="00901F9C"/>
    <w:rsid w:val="00934B5F"/>
    <w:rsid w:val="00943EEF"/>
    <w:rsid w:val="00995642"/>
    <w:rsid w:val="009A4D56"/>
    <w:rsid w:val="009C4F94"/>
    <w:rsid w:val="009E223E"/>
    <w:rsid w:val="00A007E3"/>
    <w:rsid w:val="00A12151"/>
    <w:rsid w:val="00A15318"/>
    <w:rsid w:val="00A57C14"/>
    <w:rsid w:val="00A64C28"/>
    <w:rsid w:val="00AB50BE"/>
    <w:rsid w:val="00AB756B"/>
    <w:rsid w:val="00AE3947"/>
    <w:rsid w:val="00B16315"/>
    <w:rsid w:val="00B43668"/>
    <w:rsid w:val="00B55007"/>
    <w:rsid w:val="00B570A1"/>
    <w:rsid w:val="00B95970"/>
    <w:rsid w:val="00BA0C30"/>
    <w:rsid w:val="00BD2192"/>
    <w:rsid w:val="00BE1190"/>
    <w:rsid w:val="00C330D9"/>
    <w:rsid w:val="00C865A8"/>
    <w:rsid w:val="00C933CE"/>
    <w:rsid w:val="00CA7977"/>
    <w:rsid w:val="00CB439F"/>
    <w:rsid w:val="00CC4A11"/>
    <w:rsid w:val="00CD101C"/>
    <w:rsid w:val="00CD62D3"/>
    <w:rsid w:val="00CE791D"/>
    <w:rsid w:val="00D03F43"/>
    <w:rsid w:val="00D22DFA"/>
    <w:rsid w:val="00D35A84"/>
    <w:rsid w:val="00DC6E99"/>
    <w:rsid w:val="00E04175"/>
    <w:rsid w:val="00E1044D"/>
    <w:rsid w:val="00E400D7"/>
    <w:rsid w:val="00E67206"/>
    <w:rsid w:val="00E73D29"/>
    <w:rsid w:val="00E751B0"/>
    <w:rsid w:val="00E764E2"/>
    <w:rsid w:val="00EA56D4"/>
    <w:rsid w:val="00EB016F"/>
    <w:rsid w:val="00EB113B"/>
    <w:rsid w:val="00F32FE2"/>
    <w:rsid w:val="00F3394D"/>
    <w:rsid w:val="00F40D97"/>
    <w:rsid w:val="00F43E10"/>
    <w:rsid w:val="00F60276"/>
    <w:rsid w:val="00F62505"/>
    <w:rsid w:val="00F85048"/>
    <w:rsid w:val="00FB45A0"/>
    <w:rsid w:val="066476FD"/>
    <w:rsid w:val="08750808"/>
    <w:rsid w:val="0F221FF8"/>
    <w:rsid w:val="10B8073A"/>
    <w:rsid w:val="1322416A"/>
    <w:rsid w:val="254F556D"/>
    <w:rsid w:val="453A1A53"/>
    <w:rsid w:val="6E9360F4"/>
    <w:rsid w:val="6F575B68"/>
    <w:rsid w:val="6F9B6B5B"/>
    <w:rsid w:val="705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宋体"/>
      <w:sz w:val="21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character" w:styleId="11">
    <w:name w:val="Emphasis"/>
    <w:basedOn w:val="10"/>
    <w:qFormat/>
    <w:uiPriority w:val="0"/>
    <w:rPr>
      <w:rFonts w:ascii="Times New Roman" w:hAnsi="Times New Roman" w:eastAsia="仿宋_GB2312" w:cs="Times New Roman"/>
      <w:color w:val="CC0000"/>
      <w:kern w:val="0"/>
      <w:sz w:val="24"/>
      <w:szCs w:val="20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5">
    <w:name w:val="批注框文本 Char"/>
    <w:basedOn w:val="10"/>
    <w:link w:val="5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54"/>
    <customShpInfo spid="_x0000_s2052"/>
    <customShpInfo spid="_x0000_s2050"/>
    <customShpInfo spid="_x0000_s2051"/>
    <customShpInfo spid="_x0000_s2049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6D3B8-8371-4745-ADB3-D62A7FCFE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1317</Words>
  <Characters>7509</Characters>
  <Lines>62</Lines>
  <Paragraphs>17</Paragraphs>
  <TotalTime>953</TotalTime>
  <ScaleCrop>false</ScaleCrop>
  <LinksUpToDate>false</LinksUpToDate>
  <CharactersWithSpaces>8809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2021-02-02T08:50:00Z</dcterms:created>
  <dc:creator>xb21cn</dc:creator>
  <cp:lastModifiedBy>猫仙生</cp:lastModifiedBy>
  <cp:lastPrinted>2021-02-08T07:56:00Z</cp:lastPrinted>
  <dcterms:modified xsi:type="dcterms:W3CDTF">2021-02-09T02:14:03Z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424232570_btnclosed</vt:lpwstr>
  </property>
</Properties>
</file>