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44"/>
          <w:szCs w:val="44"/>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r>
        <w:rPr>
          <w:rFonts w:hint="eastAsia" w:ascii="黑体" w:hAnsi="黑体" w:eastAsia="黑体" w:cs="黑体"/>
          <w:sz w:val="32"/>
          <w:szCs w:val="32"/>
          <w:lang w:eastAsia="zh-CN"/>
        </w:rPr>
        <w:t>：</w:t>
      </w:r>
      <w:r>
        <w:rPr>
          <w:rFonts w:hint="eastAsia" w:ascii="方正小标宋简体" w:hAnsi="方正小标宋简体" w:eastAsia="方正小标宋简体" w:cs="方正小标宋简体"/>
          <w:b w:val="0"/>
          <w:bCs w:val="0"/>
          <w:sz w:val="44"/>
          <w:szCs w:val="44"/>
          <w:lang w:val="en-US" w:eastAsia="zh-CN"/>
        </w:rPr>
        <w:t>西吉县教育系统</w:t>
      </w:r>
      <w:r>
        <w:rPr>
          <w:rFonts w:hint="eastAsia" w:ascii="方正小标宋简体" w:hAnsi="方正小标宋简体" w:eastAsia="方正小标宋简体" w:cs="方正小标宋简体"/>
          <w:b w:val="0"/>
          <w:bCs w:val="0"/>
          <w:sz w:val="44"/>
          <w:szCs w:val="44"/>
        </w:rPr>
        <w:t>“谁执法谁普法”四个清单分解表</w:t>
      </w:r>
    </w:p>
    <w:tbl>
      <w:tblPr>
        <w:tblStyle w:val="8"/>
        <w:tblpPr w:leftFromText="180" w:rightFromText="180" w:vertAnchor="text" w:tblpX="-22" w:tblpY="338"/>
        <w:tblOverlap w:val="never"/>
        <w:tblW w:w="14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037"/>
        <w:gridCol w:w="2468"/>
        <w:gridCol w:w="3791"/>
        <w:gridCol w:w="4105"/>
        <w:gridCol w:w="1186"/>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
                <w:color w:val="000000" w:themeColor="text1"/>
                <w:sz w:val="24"/>
                <w:szCs w:val="24"/>
                <w:vertAlign w:val="baseline"/>
                <w:lang w:eastAsia="zh-CN"/>
                <w14:textFill>
                  <w14:solidFill>
                    <w14:schemeClr w14:val="tx1"/>
                  </w14:solidFill>
                </w14:textFill>
              </w:rPr>
            </w:pPr>
            <w:r>
              <w:rPr>
                <w:rFonts w:hint="eastAsia" w:ascii="仿宋" w:hAnsi="仿宋" w:eastAsia="仿宋" w:cs="仿宋"/>
                <w:color w:val="000000" w:themeColor="text1"/>
                <w:sz w:val="24"/>
                <w:szCs w:val="24"/>
                <w:vertAlign w:val="baseline"/>
                <w:lang w:eastAsia="zh-CN"/>
                <w14:textFill>
                  <w14:solidFill>
                    <w14:schemeClr w14:val="tx1"/>
                  </w14:solidFill>
                </w14:textFill>
              </w:rPr>
              <w:t>序号</w:t>
            </w:r>
          </w:p>
        </w:tc>
        <w:tc>
          <w:tcPr>
            <w:tcW w:w="10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项目</w:t>
            </w:r>
          </w:p>
        </w:tc>
        <w:tc>
          <w:tcPr>
            <w:tcW w:w="246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内容清单</w:t>
            </w:r>
          </w:p>
        </w:tc>
        <w:tc>
          <w:tcPr>
            <w:tcW w:w="379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措施清单</w:t>
            </w:r>
          </w:p>
        </w:tc>
        <w:tc>
          <w:tcPr>
            <w:tcW w:w="41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标准清单</w:t>
            </w:r>
          </w:p>
        </w:tc>
        <w:tc>
          <w:tcPr>
            <w:tcW w:w="21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
                <w:color w:val="000000" w:themeColor="text1"/>
                <w:sz w:val="24"/>
                <w:szCs w:val="24"/>
                <w:vertAlign w:val="baseline"/>
                <w:lang w:eastAsia="zh-CN"/>
                <w14:textFill>
                  <w14:solidFill>
                    <w14:schemeClr w14:val="tx1"/>
                  </w14:solidFill>
                </w14:textFill>
              </w:rPr>
            </w:pPr>
            <w:r>
              <w:rPr>
                <w:rFonts w:hint="eastAsia" w:ascii="仿宋" w:hAnsi="仿宋" w:eastAsia="仿宋" w:cs="仿宋"/>
                <w:color w:val="000000" w:themeColor="text1"/>
                <w:sz w:val="24"/>
                <w:szCs w:val="24"/>
                <w:vertAlign w:val="baseline"/>
                <w:lang w:eastAsia="zh-CN"/>
                <w14:textFill>
                  <w14:solidFill>
                    <w14:schemeClr w14:val="tx1"/>
                  </w14:solidFill>
                </w14:textFill>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6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p>
        </w:tc>
        <w:tc>
          <w:tcPr>
            <w:tcW w:w="10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p>
        </w:tc>
        <w:tc>
          <w:tcPr>
            <w:tcW w:w="246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p>
        </w:tc>
        <w:tc>
          <w:tcPr>
            <w:tcW w:w="37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p>
        </w:tc>
        <w:tc>
          <w:tcPr>
            <w:tcW w:w="41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eastAsia="zh-CN"/>
                <w14:textFill>
                  <w14:solidFill>
                    <w14:schemeClr w14:val="tx1"/>
                  </w14:solidFill>
                </w14:textFill>
              </w:rPr>
            </w:pPr>
            <w:r>
              <w:rPr>
                <w:rFonts w:hint="eastAsia" w:ascii="仿宋" w:hAnsi="仿宋" w:eastAsia="仿宋" w:cs="仿宋"/>
                <w:color w:val="000000" w:themeColor="text1"/>
                <w:sz w:val="24"/>
                <w:szCs w:val="24"/>
                <w:vertAlign w:val="baseline"/>
                <w:lang w:eastAsia="zh-CN"/>
                <w14:textFill>
                  <w14:solidFill>
                    <w14:schemeClr w14:val="tx1"/>
                  </w14:solidFill>
                </w14:textFill>
              </w:rPr>
              <w:t>责任主体</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eastAsia="zh-CN"/>
                <w14:textFill>
                  <w14:solidFill>
                    <w14:schemeClr w14:val="tx1"/>
                  </w14:solidFill>
                </w14:textFill>
              </w:rPr>
            </w:pPr>
            <w:r>
              <w:rPr>
                <w:rFonts w:hint="eastAsia" w:ascii="仿宋" w:hAnsi="仿宋" w:eastAsia="仿宋" w:cs="仿宋"/>
                <w:color w:val="000000" w:themeColor="text1"/>
                <w:sz w:val="24"/>
                <w:szCs w:val="24"/>
                <w:vertAlign w:val="baseline"/>
                <w:lang w:eastAsia="zh-CN"/>
                <w14:textFill>
                  <w14:solidFill>
                    <w14:schemeClr w14:val="tx1"/>
                  </w14:solidFill>
                </w14:textFill>
              </w:rPr>
              <w:t>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5" w:hRule="atLeast"/>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w:t>
            </w: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eastAsia="zh-CN"/>
                <w14:textFill>
                  <w14:solidFill>
                    <w14:schemeClr w14:val="tx1"/>
                  </w14:solidFill>
                </w14:textFill>
              </w:rPr>
            </w:pPr>
            <w:r>
              <w:rPr>
                <w:rFonts w:hint="eastAsia" w:ascii="仿宋" w:hAnsi="仿宋" w:eastAsia="仿宋" w:cs="仿宋"/>
                <w:color w:val="000000" w:themeColor="text1"/>
                <w:sz w:val="24"/>
                <w:szCs w:val="24"/>
                <w:vertAlign w:val="baseline"/>
                <w:lang w:eastAsia="zh-CN"/>
                <w14:textFill>
                  <w14:solidFill>
                    <w14:schemeClr w14:val="tx1"/>
                  </w14:solidFill>
                </w14:textFill>
              </w:rPr>
              <w:t>习近平</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eastAsia="zh-CN"/>
                <w14:textFill>
                  <w14:solidFill>
                    <w14:schemeClr w14:val="tx1"/>
                  </w14:solidFill>
                </w14:textFill>
              </w:rPr>
              <w:t>法治思想</w:t>
            </w:r>
          </w:p>
        </w:tc>
        <w:tc>
          <w:tcPr>
            <w:tcW w:w="24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习近平法治思想</w:t>
            </w:r>
          </w:p>
        </w:tc>
        <w:tc>
          <w:tcPr>
            <w:tcW w:w="37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w:t>
            </w:r>
            <w:r>
              <w:rPr>
                <w:rFonts w:hint="eastAsia" w:ascii="仿宋" w:hAnsi="仿宋" w:eastAsia="仿宋" w:cs="仿宋"/>
                <w:color w:val="000000" w:themeColor="text1"/>
                <w:sz w:val="24"/>
                <w:szCs w:val="24"/>
                <w:vertAlign w:val="baseline"/>
                <w14:textFill>
                  <w14:solidFill>
                    <w14:schemeClr w14:val="tx1"/>
                  </w14:solidFill>
                </w14:textFill>
              </w:rPr>
              <w:t>将习近平法治思想列入党组理论学习中心组、党支部党员学习内容，通过专题会议、专门研讨等形式，深入开展习近平法治思想学习活动。2.制定学习培训计划，创新方式方法，通过举办培训班、学习班、研讨班，运用“学习强国”、干部教育培训网络学院等平台，组织开展学习培训。3.组织推动新闻媒体以专题报道、发表评论员文章、开设专栏等方式，宣传习近平法治思想及其生动实践。</w:t>
            </w:r>
          </w:p>
        </w:tc>
        <w:tc>
          <w:tcPr>
            <w:tcW w:w="41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1.将学习宣传习近平法治思想纳入普法工作全局，与业务工作同部署、同检查、同落实。2.每年组织党员干部至少开展1次习近平法治思想专题学习或研讨培训。3.深刻认识习近平法治思想重大意义，吃透基本精神、把握核心要义、明确工作要求，在学懂弄通做实上下功夫，在学思悟贯通、知信行合一上见实效。4.通过广泛的学习宣传阐释工作，增强“四个意识”、坚定“四个自信”、做到“两个维护”。</w:t>
            </w: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机关各</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办</w:t>
            </w:r>
            <w:r>
              <w:rPr>
                <w:rFonts w:hint="eastAsia" w:ascii="仿宋" w:hAnsi="仿宋" w:eastAsia="仿宋" w:cs="仿宋"/>
                <w:color w:val="000000" w:themeColor="text1"/>
                <w:sz w:val="24"/>
                <w:szCs w:val="24"/>
                <w:vertAlign w:val="baseline"/>
                <w:lang w:eastAsia="zh-CN"/>
                <w14:textFill>
                  <w14:solidFill>
                    <w14:schemeClr w14:val="tx1"/>
                  </w14:solidFill>
                </w14:textFill>
              </w:rPr>
              <w:t>室、</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各学校（园）</w:t>
            </w:r>
            <w:r>
              <w:rPr>
                <w:rFonts w:hint="eastAsia" w:ascii="仿宋" w:hAnsi="仿宋" w:eastAsia="仿宋" w:cs="仿宋"/>
                <w:color w:val="000000" w:themeColor="text1"/>
                <w:sz w:val="24"/>
                <w:szCs w:val="24"/>
                <w:vertAlign w:val="baseline"/>
                <w14:textFill>
                  <w14:solidFill>
                    <w14:schemeClr w14:val="tx1"/>
                  </w14:solidFill>
                </w14:textFill>
              </w:rPr>
              <w:t>配合</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局</w:t>
            </w:r>
            <w:r>
              <w:rPr>
                <w:rFonts w:hint="eastAsia" w:ascii="仿宋" w:hAnsi="仿宋" w:eastAsia="仿宋" w:cs="仿宋"/>
                <w:color w:val="000000" w:themeColor="text1"/>
                <w:sz w:val="24"/>
                <w:szCs w:val="24"/>
                <w:vertAlign w:val="baseline"/>
                <w14:textFill>
                  <w14:solidFill>
                    <w14:schemeClr w14:val="tx1"/>
                  </w14:solidFill>
                </w14:textFill>
              </w:rPr>
              <w:t>全体干部职工</w:t>
            </w:r>
            <w:r>
              <w:rPr>
                <w:rFonts w:hint="eastAsia" w:ascii="仿宋" w:hAnsi="仿宋" w:eastAsia="仿宋" w:cs="仿宋"/>
                <w:color w:val="000000" w:themeColor="text1"/>
                <w:sz w:val="24"/>
                <w:szCs w:val="24"/>
                <w:vertAlign w:val="baseline"/>
                <w:lang w:eastAsia="zh-CN"/>
                <w14:textFill>
                  <w14:solidFill>
                    <w14:schemeClr w14:val="tx1"/>
                  </w14:solidFill>
                </w14:textFill>
              </w:rPr>
              <w:t>；全县师生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7" w:hRule="atLeast"/>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2</w:t>
            </w: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宪法</w:t>
            </w:r>
          </w:p>
        </w:tc>
        <w:tc>
          <w:tcPr>
            <w:tcW w:w="24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《宪法》及《国旗法》《国歌法》《国徽法》等相关法律法规</w:t>
            </w:r>
          </w:p>
        </w:tc>
        <w:tc>
          <w:tcPr>
            <w:tcW w:w="37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w:t>
            </w:r>
            <w:r>
              <w:rPr>
                <w:rFonts w:hint="eastAsia" w:ascii="仿宋" w:hAnsi="仿宋" w:eastAsia="仿宋" w:cs="仿宋"/>
                <w:color w:val="000000" w:themeColor="text1"/>
                <w:sz w:val="24"/>
                <w:szCs w:val="24"/>
                <w:vertAlign w:val="baseline"/>
                <w14:textFill>
                  <w14:solidFill>
                    <w14:schemeClr w14:val="tx1"/>
                  </w14:solidFill>
                </w14:textFill>
              </w:rPr>
              <w:t>结合“12.4”国家宪法日，开展“宪法宣传周”活动，广泛开展宪法学习宣传教育。2.国家工作人员依照法律规定开展宪法宣誓活动。3.加强《国旗法》《国歌法》《国徽法》等宪法相关法的学习宣传，加强日常管理，带头规范升挂国旗、奏唱国歌和悬挂国徽等行为。</w:t>
            </w:r>
          </w:p>
        </w:tc>
        <w:tc>
          <w:tcPr>
            <w:tcW w:w="41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1.推动</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国家工作</w:t>
            </w:r>
            <w:r>
              <w:rPr>
                <w:rFonts w:hint="eastAsia" w:ascii="仿宋" w:hAnsi="仿宋" w:eastAsia="仿宋" w:cs="仿宋"/>
                <w:color w:val="000000" w:themeColor="text1"/>
                <w:sz w:val="24"/>
                <w:szCs w:val="24"/>
                <w:vertAlign w:val="baseline"/>
                <w14:textFill>
                  <w14:solidFill>
                    <w14:schemeClr w14:val="tx1"/>
                  </w14:solidFill>
                </w14:textFill>
              </w:rPr>
              <w:t>人员带头遵崇宪法、学习宪法、遵守宪法、维护宪法、运用宪法，提升各级党员领导干部运用法治思维和法治方式解决问题的能力。2.大力弘扬宪法精神，维护宪法权威，推动宪法精神进基层，使宪法走入日常生活，走进人民群众心中。</w:t>
            </w: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机关各</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办</w:t>
            </w:r>
            <w:r>
              <w:rPr>
                <w:rFonts w:hint="eastAsia" w:ascii="仿宋" w:hAnsi="仿宋" w:eastAsia="仿宋" w:cs="仿宋"/>
                <w:color w:val="000000" w:themeColor="text1"/>
                <w:sz w:val="24"/>
                <w:szCs w:val="24"/>
                <w:vertAlign w:val="baseline"/>
                <w:lang w:eastAsia="zh-CN"/>
                <w14:textFill>
                  <w14:solidFill>
                    <w14:schemeClr w14:val="tx1"/>
                  </w14:solidFill>
                </w14:textFill>
              </w:rPr>
              <w:t>室、</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各学校（园）</w:t>
            </w:r>
            <w:r>
              <w:rPr>
                <w:rFonts w:hint="eastAsia" w:ascii="仿宋" w:hAnsi="仿宋" w:eastAsia="仿宋" w:cs="仿宋"/>
                <w:color w:val="000000" w:themeColor="text1"/>
                <w:sz w:val="24"/>
                <w:szCs w:val="24"/>
                <w:vertAlign w:val="baseline"/>
                <w14:textFill>
                  <w14:solidFill>
                    <w14:schemeClr w14:val="tx1"/>
                  </w14:solidFill>
                </w14:textFill>
              </w:rPr>
              <w:t>配合</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246" w:firstLineChars="0"/>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局</w:t>
            </w:r>
            <w:r>
              <w:rPr>
                <w:rFonts w:hint="eastAsia" w:ascii="仿宋" w:hAnsi="仿宋" w:eastAsia="仿宋" w:cs="仿宋"/>
                <w:color w:val="000000" w:themeColor="text1"/>
                <w:sz w:val="24"/>
                <w:szCs w:val="24"/>
                <w:vertAlign w:val="baseline"/>
                <w14:textFill>
                  <w14:solidFill>
                    <w14:schemeClr w14:val="tx1"/>
                  </w14:solidFill>
                </w14:textFill>
              </w:rPr>
              <w:t>全体干部职工</w:t>
            </w:r>
            <w:r>
              <w:rPr>
                <w:rFonts w:hint="eastAsia" w:ascii="仿宋" w:hAnsi="仿宋" w:eastAsia="仿宋" w:cs="仿宋"/>
                <w:color w:val="000000" w:themeColor="text1"/>
                <w:sz w:val="24"/>
                <w:szCs w:val="24"/>
                <w:vertAlign w:val="baseline"/>
                <w:lang w:eastAsia="zh-CN"/>
                <w14:textFill>
                  <w14:solidFill>
                    <w14:schemeClr w14:val="tx1"/>
                  </w14:solidFill>
                </w14:textFill>
              </w:rPr>
              <w:t>；全县师生员工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8" w:hRule="atLeast"/>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3</w:t>
            </w: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eastAsia="zh-CN"/>
                <w14:textFill>
                  <w14:solidFill>
                    <w14:schemeClr w14:val="tx1"/>
                  </w14:solidFill>
                </w14:textFill>
              </w:rPr>
              <w:t>中国特色社会主义法律体系</w:t>
            </w:r>
          </w:p>
        </w:tc>
        <w:tc>
          <w:tcPr>
            <w:tcW w:w="24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民法典》《刑法》《刑事诉讼法》《民事诉讼法》《行政许可法》《行政处罚法》《行政强制法》《行政诉讼法》《行政复议法》《公务员法》《保密法》《国家安全法》《反分裂国家法》《安全生产法》《禁毒法》《民族区域自治法》《国家赔偿法》《监察法》《劳动法》《预防</w:t>
            </w:r>
            <w:r>
              <w:rPr>
                <w:rFonts w:hint="eastAsia" w:ascii="仿宋" w:hAnsi="仿宋" w:eastAsia="仿宋" w:cs="仿宋"/>
                <w:color w:val="000000" w:themeColor="text1"/>
                <w:sz w:val="24"/>
                <w:szCs w:val="24"/>
                <w:vertAlign w:val="baseline"/>
                <w:lang w:eastAsia="zh-CN"/>
                <w14:textFill>
                  <w14:solidFill>
                    <w14:schemeClr w14:val="tx1"/>
                  </w14:solidFill>
                </w14:textFill>
              </w:rPr>
              <w:t>未成年人</w:t>
            </w:r>
            <w:r>
              <w:rPr>
                <w:rFonts w:hint="eastAsia" w:ascii="仿宋" w:hAnsi="仿宋" w:eastAsia="仿宋" w:cs="仿宋"/>
                <w:color w:val="000000" w:themeColor="text1"/>
                <w:sz w:val="24"/>
                <w:szCs w:val="24"/>
                <w:vertAlign w:val="baseline"/>
                <w14:textFill>
                  <w14:solidFill>
                    <w14:schemeClr w14:val="tx1"/>
                  </w14:solidFill>
                </w14:textFill>
              </w:rPr>
              <w:t>犯罪法》《</w:t>
            </w:r>
            <w:r>
              <w:rPr>
                <w:rFonts w:hint="default" w:ascii="仿宋" w:hAnsi="仿宋" w:eastAsia="仿宋" w:cs="仿宋"/>
                <w:color w:val="000000" w:themeColor="text1"/>
                <w:sz w:val="24"/>
                <w:szCs w:val="24"/>
                <w:vertAlign w:val="baseline"/>
                <w:lang w:val="en"/>
                <w14:textFill>
                  <w14:solidFill>
                    <w14:schemeClr w14:val="tx1"/>
                  </w14:solidFill>
                </w14:textFill>
              </w:rPr>
              <w:t>中华人民共和国妇女权益保障法</w:t>
            </w:r>
            <w:bookmarkStart w:id="0" w:name="_GoBack"/>
            <w:bookmarkEnd w:id="0"/>
            <w:r>
              <w:rPr>
                <w:rFonts w:hint="eastAsia" w:ascii="仿宋" w:hAnsi="仿宋" w:eastAsia="仿宋" w:cs="仿宋"/>
                <w:color w:val="000000" w:themeColor="text1"/>
                <w:sz w:val="24"/>
                <w:szCs w:val="24"/>
                <w:vertAlign w:val="baseline"/>
                <w14:textFill>
                  <w14:solidFill>
                    <w14:schemeClr w14:val="tx1"/>
                  </w14:solidFill>
                </w14:textFill>
              </w:rPr>
              <w:t>》《未成年人保护法》等法律法规</w:t>
            </w:r>
          </w:p>
        </w:tc>
        <w:tc>
          <w:tcPr>
            <w:tcW w:w="37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w:t>
            </w:r>
            <w:r>
              <w:rPr>
                <w:rFonts w:hint="eastAsia" w:ascii="仿宋" w:hAnsi="仿宋" w:eastAsia="仿宋" w:cs="仿宋"/>
                <w:color w:val="000000" w:themeColor="text1"/>
                <w:sz w:val="24"/>
                <w:szCs w:val="24"/>
                <w:vertAlign w:val="baseline"/>
                <w14:textFill>
                  <w14:solidFill>
                    <w14:schemeClr w14:val="tx1"/>
                  </w14:solidFill>
                </w14:textFill>
              </w:rPr>
              <w:t>落实党政主要负责人履行推进法治建设第一责任人职责规定，带头讲法治课，做学法表率，全面实行领导干部年终述法制度。2.党组、党支部每月开展“一法一条例”的学习。3.在“4.15”国家安全日、“6.26”国际禁毒日、“民法典”宣传月、安全生产月、保密宣传月、民族团结月等重要时间节点开展普法学习宣传。4.把法治教育纳入干部教育培训总体规划，健全完善干部学法用法培训机制，加强对干部学法用法考核。5.开展“开放日”活动，面向社会公众展示司法行政机关公正文明执法良好形象。6.大力开展法治文化建设，运用各类媒体、平台、普法宣传阵地普及法律知识，传播法治信仰。7.将普法宣传工作纳入效能考核，作为评先选优、选拔任用干部重要依据。</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p>
        </w:tc>
        <w:tc>
          <w:tcPr>
            <w:tcW w:w="41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1.党政主要负责人在年终述职述廉的同时进行述法，带头上法治课每年不少于2次。2.</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党组</w:t>
            </w:r>
            <w:r>
              <w:rPr>
                <w:rFonts w:hint="eastAsia" w:ascii="仿宋" w:hAnsi="仿宋" w:eastAsia="仿宋" w:cs="仿宋"/>
                <w:color w:val="000000" w:themeColor="text1"/>
                <w:sz w:val="24"/>
                <w:szCs w:val="24"/>
                <w:vertAlign w:val="baseline"/>
                <w14:textFill>
                  <w14:solidFill>
                    <w14:schemeClr w14:val="tx1"/>
                  </w14:solidFill>
                </w14:textFill>
              </w:rPr>
              <w:t>理论中心组、干部日常学法制度健全，有学习计划，有明确学习任务，并保证学习时间和效果。3.</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通过</w:t>
            </w:r>
            <w:r>
              <w:rPr>
                <w:rFonts w:hint="eastAsia" w:ascii="仿宋" w:hAnsi="仿宋" w:eastAsia="仿宋" w:cs="仿宋"/>
                <w:color w:val="000000" w:themeColor="text1"/>
                <w:sz w:val="24"/>
                <w:szCs w:val="24"/>
                <w:vertAlign w:val="baseline"/>
                <w14:textFill>
                  <w14:solidFill>
                    <w14:schemeClr w14:val="tx1"/>
                  </w14:solidFill>
                </w14:textFill>
              </w:rPr>
              <w:t>法律宣传日、宣传周、宣传月</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以及</w:t>
            </w:r>
            <w:r>
              <w:rPr>
                <w:rFonts w:hint="eastAsia" w:ascii="仿宋" w:hAnsi="仿宋" w:eastAsia="仿宋" w:cs="仿宋"/>
                <w:color w:val="000000" w:themeColor="text1"/>
                <w:sz w:val="24"/>
                <w:szCs w:val="24"/>
                <w:vertAlign w:val="baseline"/>
                <w14:textFill>
                  <w14:solidFill>
                    <w14:schemeClr w14:val="tx1"/>
                  </w14:solidFill>
                </w14:textFill>
              </w:rPr>
              <w:t>重要时间节点</w:t>
            </w:r>
            <w:r>
              <w:rPr>
                <w:rFonts w:hint="eastAsia" w:ascii="仿宋" w:hAnsi="仿宋" w:eastAsia="仿宋" w:cs="仿宋"/>
                <w:color w:val="000000" w:themeColor="text1"/>
                <w:sz w:val="24"/>
                <w:szCs w:val="24"/>
                <w:vertAlign w:val="baseline"/>
                <w:lang w:eastAsia="zh-CN"/>
                <w14:textFill>
                  <w14:solidFill>
                    <w14:schemeClr w14:val="tx1"/>
                  </w14:solidFill>
                </w14:textFill>
              </w:rPr>
              <w:t>、</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利用新时代农民讲习所等阵地，</w:t>
            </w:r>
            <w:r>
              <w:rPr>
                <w:rFonts w:hint="eastAsia" w:ascii="仿宋" w:hAnsi="仿宋" w:eastAsia="仿宋" w:cs="仿宋"/>
                <w:color w:val="000000" w:themeColor="text1"/>
                <w:sz w:val="24"/>
                <w:szCs w:val="24"/>
                <w:vertAlign w:val="baseline"/>
                <w14:textFill>
                  <w14:solidFill>
                    <w14:schemeClr w14:val="tx1"/>
                  </w14:solidFill>
                </w14:textFill>
              </w:rPr>
              <w:t>开展法治宣传活动，每</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季度</w:t>
            </w:r>
            <w:r>
              <w:rPr>
                <w:rFonts w:hint="eastAsia" w:ascii="仿宋" w:hAnsi="仿宋" w:eastAsia="仿宋" w:cs="仿宋"/>
                <w:color w:val="000000" w:themeColor="text1"/>
                <w:sz w:val="24"/>
                <w:szCs w:val="24"/>
                <w:vertAlign w:val="baseline"/>
                <w14:textFill>
                  <w14:solidFill>
                    <w14:schemeClr w14:val="tx1"/>
                  </w14:solidFill>
                </w14:textFill>
              </w:rPr>
              <w:t>不少于</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3</w:t>
            </w:r>
            <w:r>
              <w:rPr>
                <w:rFonts w:hint="eastAsia" w:ascii="仿宋" w:hAnsi="仿宋" w:eastAsia="仿宋" w:cs="仿宋"/>
                <w:color w:val="000000" w:themeColor="text1"/>
                <w:sz w:val="24"/>
                <w:szCs w:val="24"/>
                <w:vertAlign w:val="baseline"/>
                <w14:textFill>
                  <w14:solidFill>
                    <w14:schemeClr w14:val="tx1"/>
                  </w14:solidFill>
                </w14:textFill>
              </w:rPr>
              <w:t>次。4.每年开展一次干部</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职工</w:t>
            </w:r>
            <w:r>
              <w:rPr>
                <w:rFonts w:hint="eastAsia" w:ascii="仿宋" w:hAnsi="仿宋" w:eastAsia="仿宋" w:cs="仿宋"/>
                <w:color w:val="000000" w:themeColor="text1"/>
                <w:sz w:val="24"/>
                <w:szCs w:val="24"/>
                <w:vertAlign w:val="baseline"/>
                <w14:textFill>
                  <w14:solidFill>
                    <w14:schemeClr w14:val="tx1"/>
                  </w14:solidFill>
                </w14:textFill>
              </w:rPr>
              <w:t>网上学法用法考试，参学率、通过率达98%以上。5.国家工作人员参加现场和网上旁听庭审每年至少1次。6.每年至少开展1次“开放日”活动。7.法治文化阵地建设成效显著，法治文化氛围浓厚。</w:t>
            </w: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机关各</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办</w:t>
            </w:r>
            <w:r>
              <w:rPr>
                <w:rFonts w:hint="eastAsia" w:ascii="仿宋" w:hAnsi="仿宋" w:eastAsia="仿宋" w:cs="仿宋"/>
                <w:color w:val="000000" w:themeColor="text1"/>
                <w:sz w:val="24"/>
                <w:szCs w:val="24"/>
                <w:vertAlign w:val="baseline"/>
                <w:lang w:eastAsia="zh-CN"/>
                <w14:textFill>
                  <w14:solidFill>
                    <w14:schemeClr w14:val="tx1"/>
                  </w14:solidFill>
                </w14:textFill>
              </w:rPr>
              <w:t>室、</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各学校（园）</w:t>
            </w:r>
            <w:r>
              <w:rPr>
                <w:rFonts w:hint="eastAsia" w:ascii="仿宋" w:hAnsi="仿宋" w:eastAsia="仿宋" w:cs="仿宋"/>
                <w:color w:val="000000" w:themeColor="text1"/>
                <w:sz w:val="24"/>
                <w:szCs w:val="24"/>
                <w:vertAlign w:val="baseline"/>
                <w14:textFill>
                  <w14:solidFill>
                    <w14:schemeClr w14:val="tx1"/>
                  </w14:solidFill>
                </w14:textFill>
              </w:rPr>
              <w:t>配合</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局</w:t>
            </w:r>
            <w:r>
              <w:rPr>
                <w:rFonts w:hint="eastAsia" w:ascii="仿宋" w:hAnsi="仿宋" w:eastAsia="仿宋" w:cs="仿宋"/>
                <w:color w:val="000000" w:themeColor="text1"/>
                <w:sz w:val="24"/>
                <w:szCs w:val="24"/>
                <w:vertAlign w:val="baseline"/>
                <w14:textFill>
                  <w14:solidFill>
                    <w14:schemeClr w14:val="tx1"/>
                  </w14:solidFill>
                </w14:textFill>
              </w:rPr>
              <w:t>全体干部职工</w:t>
            </w:r>
            <w:r>
              <w:rPr>
                <w:rFonts w:hint="eastAsia" w:ascii="仿宋" w:hAnsi="仿宋" w:eastAsia="仿宋" w:cs="仿宋"/>
                <w:color w:val="000000" w:themeColor="text1"/>
                <w:sz w:val="24"/>
                <w:szCs w:val="24"/>
                <w:vertAlign w:val="baseline"/>
                <w:lang w:eastAsia="zh-CN"/>
                <w14:textFill>
                  <w14:solidFill>
                    <w14:schemeClr w14:val="tx1"/>
                  </w14:solidFill>
                </w14:textFill>
              </w:rPr>
              <w:t>；全县师生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6" w:hRule="atLeast"/>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4</w:t>
            </w: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党内法规</w:t>
            </w:r>
          </w:p>
        </w:tc>
        <w:tc>
          <w:tcPr>
            <w:tcW w:w="24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w:t>
            </w:r>
            <w:r>
              <w:rPr>
                <w:rFonts w:hint="eastAsia" w:ascii="仿宋" w:hAnsi="仿宋" w:eastAsia="仿宋" w:cs="仿宋"/>
                <w:color w:val="000000" w:themeColor="text1"/>
                <w:sz w:val="24"/>
                <w:szCs w:val="24"/>
                <w:vertAlign w:val="baseline"/>
                <w:lang w:eastAsia="zh-CN"/>
                <w14:textFill>
                  <w14:solidFill>
                    <w14:schemeClr w14:val="tx1"/>
                  </w14:solidFill>
                </w14:textFill>
              </w:rPr>
              <w:t>中国共产党章程</w:t>
            </w:r>
            <w:r>
              <w:rPr>
                <w:rFonts w:hint="eastAsia" w:ascii="仿宋" w:hAnsi="仿宋" w:eastAsia="仿宋" w:cs="仿宋"/>
                <w:color w:val="000000" w:themeColor="text1"/>
                <w:sz w:val="24"/>
                <w:szCs w:val="24"/>
                <w:vertAlign w:val="baseline"/>
                <w14:textFill>
                  <w14:solidFill>
                    <w14:schemeClr w14:val="tx1"/>
                  </w14:solidFill>
                </w14:textFill>
              </w:rPr>
              <w:t>》《中国共产党党内监督条例》《中国共产党支部工作条例（试行）》《中国共产党党员教育管理工作条例》《中国共产党纪律处分条例》《中国共产党问责条例》《中国共产党政法工作条例》《中国共产党宣传工作条例》《中国共产党重大事项请示报告条例》《中国共产党党员权利保障条例》《中国共产党廉洁自律准则》《关于新形势下党内政治生活的若干准则》等党内法规</w:t>
            </w:r>
          </w:p>
        </w:tc>
        <w:tc>
          <w:tcPr>
            <w:tcW w:w="37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1.把重要党内法规列为党组理论学习中心组学习的重要内容，以</w:t>
            </w:r>
            <w:r>
              <w:rPr>
                <w:rFonts w:hint="eastAsia" w:ascii="仿宋" w:hAnsi="仿宋" w:eastAsia="仿宋" w:cs="仿宋"/>
                <w:color w:val="000000" w:themeColor="text1"/>
                <w:sz w:val="24"/>
                <w:szCs w:val="24"/>
                <w:vertAlign w:val="baseline"/>
                <w:lang w:eastAsia="zh-CN"/>
                <w14:textFill>
                  <w14:solidFill>
                    <w14:schemeClr w14:val="tx1"/>
                  </w14:solidFill>
                </w14:textFill>
              </w:rPr>
              <w:t>中国共产党章程</w:t>
            </w:r>
            <w:r>
              <w:rPr>
                <w:rFonts w:hint="eastAsia" w:ascii="仿宋" w:hAnsi="仿宋" w:eastAsia="仿宋" w:cs="仿宋"/>
                <w:color w:val="000000" w:themeColor="text1"/>
                <w:sz w:val="24"/>
                <w:szCs w:val="24"/>
                <w:vertAlign w:val="baseline"/>
                <w14:textFill>
                  <w14:solidFill>
                    <w14:schemeClr w14:val="tx1"/>
                  </w14:solidFill>
                </w14:textFill>
              </w:rPr>
              <w:t>、准则、条例等为重点。2.把学习党内法规作为基层党组织“三会一课”内容，列入每月“一法一条例”的学习。3.持续开展“以案释法”反腐倡廉典型案例宣传活动，发挥正面典型倡导和反面案例警示作用</w:t>
            </w:r>
            <w:r>
              <w:rPr>
                <w:rFonts w:hint="eastAsia" w:ascii="仿宋" w:hAnsi="仿宋" w:eastAsia="仿宋" w:cs="仿宋"/>
                <w:color w:val="000000" w:themeColor="text1"/>
                <w:sz w:val="24"/>
                <w:szCs w:val="24"/>
                <w:vertAlign w:val="baseline"/>
                <w:lang w:eastAsia="zh-CN"/>
                <w14:textFill>
                  <w14:solidFill>
                    <w14:schemeClr w14:val="tx1"/>
                  </w14:solidFill>
                </w14:textFill>
              </w:rPr>
              <w:t>。</w:t>
            </w:r>
          </w:p>
        </w:tc>
        <w:tc>
          <w:tcPr>
            <w:tcW w:w="41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w:t>
            </w:r>
            <w:r>
              <w:rPr>
                <w:rFonts w:hint="eastAsia" w:ascii="仿宋" w:hAnsi="仿宋" w:eastAsia="仿宋" w:cs="仿宋"/>
                <w:color w:val="000000" w:themeColor="text1"/>
                <w:sz w:val="24"/>
                <w:szCs w:val="24"/>
                <w:vertAlign w:val="baseline"/>
                <w14:textFill>
                  <w14:solidFill>
                    <w14:schemeClr w14:val="tx1"/>
                  </w14:solidFill>
                </w14:textFill>
              </w:rPr>
              <w:t>建立党内法规学习宣传责任制，注重党内法规宣传同国家法律宣传的衔接协调。</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2</w:t>
            </w:r>
            <w:r>
              <w:rPr>
                <w:rFonts w:hint="eastAsia" w:ascii="仿宋" w:hAnsi="仿宋" w:eastAsia="仿宋" w:cs="仿宋"/>
                <w:color w:val="000000" w:themeColor="text1"/>
                <w:sz w:val="24"/>
                <w:szCs w:val="24"/>
                <w:vertAlign w:val="baseline"/>
                <w14:textFill>
                  <w14:solidFill>
                    <w14:schemeClr w14:val="tx1"/>
                  </w14:solidFill>
                </w14:textFill>
              </w:rPr>
              <w:t>.把党内法规学习与“法律进机关”结合，组织开展互动性强的主题宣传活动。</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3.</w:t>
            </w:r>
            <w:r>
              <w:rPr>
                <w:rFonts w:hint="eastAsia" w:ascii="仿宋" w:hAnsi="仿宋" w:eastAsia="仿宋" w:cs="仿宋"/>
                <w:color w:val="000000" w:themeColor="text1"/>
                <w:sz w:val="24"/>
                <w:szCs w:val="24"/>
                <w:vertAlign w:val="baseline"/>
                <w14:textFill>
                  <w14:solidFill>
                    <w14:schemeClr w14:val="tx1"/>
                  </w14:solidFill>
                </w14:textFill>
              </w:rPr>
              <w:t>注重用身边事例、现身说法，切实增强党内法规学习宣传感染力和实效性。</w:t>
            </w: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机关各</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办</w:t>
            </w:r>
            <w:r>
              <w:rPr>
                <w:rFonts w:hint="eastAsia" w:ascii="仿宋" w:hAnsi="仿宋" w:eastAsia="仿宋" w:cs="仿宋"/>
                <w:color w:val="000000" w:themeColor="text1"/>
                <w:sz w:val="24"/>
                <w:szCs w:val="24"/>
                <w:vertAlign w:val="baseline"/>
                <w:lang w:eastAsia="zh-CN"/>
                <w14:textFill>
                  <w14:solidFill>
                    <w14:schemeClr w14:val="tx1"/>
                  </w14:solidFill>
                </w14:textFill>
              </w:rPr>
              <w:t>室、</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各学校（园）</w:t>
            </w:r>
            <w:r>
              <w:rPr>
                <w:rFonts w:hint="eastAsia" w:ascii="仿宋" w:hAnsi="仿宋" w:eastAsia="仿宋" w:cs="仿宋"/>
                <w:color w:val="000000" w:themeColor="text1"/>
                <w:sz w:val="24"/>
                <w:szCs w:val="24"/>
                <w:vertAlign w:val="baseline"/>
                <w14:textFill>
                  <w14:solidFill>
                    <w14:schemeClr w14:val="tx1"/>
                  </w14:solidFill>
                </w14:textFill>
              </w:rPr>
              <w:t>配合</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全体党员</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6" w:hRule="atLeast"/>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5</w:t>
            </w: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eastAsia="zh-CN"/>
                <w14:textFill>
                  <w14:solidFill>
                    <w14:schemeClr w14:val="tx1"/>
                  </w14:solidFill>
                </w14:textFill>
              </w:rPr>
            </w:pPr>
            <w:r>
              <w:rPr>
                <w:rFonts w:hint="eastAsia" w:ascii="仿宋" w:hAnsi="仿宋" w:eastAsia="仿宋" w:cs="仿宋"/>
                <w:color w:val="000000" w:themeColor="text1"/>
                <w:sz w:val="24"/>
                <w:szCs w:val="24"/>
                <w:vertAlign w:val="baseline"/>
                <w:lang w:eastAsia="zh-CN"/>
                <w14:textFill>
                  <w14:solidFill>
                    <w14:schemeClr w14:val="tx1"/>
                  </w14:solidFill>
                </w14:textFill>
              </w:rPr>
              <w:t>与业务相关的法律法规规章</w:t>
            </w:r>
          </w:p>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eastAsia="zh-CN"/>
                <w14:textFill>
                  <w14:solidFill>
                    <w14:schemeClr w14:val="tx1"/>
                  </w14:solidFill>
                </w14:textFill>
              </w:rPr>
            </w:pPr>
          </w:p>
        </w:tc>
        <w:tc>
          <w:tcPr>
            <w:tcW w:w="24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《保密法》《档案法》《网络安全法》《数据安全法》《信访工作条例》《政府信息公开条例》《宁夏档案条例》</w:t>
            </w:r>
          </w:p>
        </w:tc>
        <w:tc>
          <w:tcPr>
            <w:tcW w:w="37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1.举办有关法治讲座、培训班。2.结合“法律八进”活动，组织开展以案释法活动。3.把学习相关法律作为基层党组织“三会一课”内容，列入每月“一法一条例”的学习。</w:t>
            </w:r>
          </w:p>
        </w:tc>
        <w:tc>
          <w:tcPr>
            <w:tcW w:w="41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1.将普法工作纳入本</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办室</w:t>
            </w:r>
            <w:r>
              <w:rPr>
                <w:rFonts w:hint="eastAsia" w:ascii="仿宋" w:hAnsi="仿宋" w:eastAsia="仿宋" w:cs="仿宋"/>
                <w:color w:val="000000" w:themeColor="text1"/>
                <w:sz w:val="24"/>
                <w:szCs w:val="24"/>
                <w:vertAlign w:val="baseline"/>
                <w14:textFill>
                  <w14:solidFill>
                    <w14:schemeClr w14:val="tx1"/>
                  </w14:solidFill>
                </w14:textFill>
              </w:rPr>
              <w:t>工作全局，与业务工作同部署、同检查、同落实。2.积极利用法律宣传日、宣传周、宣传月等载体，开展法治宣传活动，每年不少于1次。3.学法、普法活动有记录、有资料。</w:t>
            </w: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机关各</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办</w:t>
            </w:r>
            <w:r>
              <w:rPr>
                <w:rFonts w:hint="eastAsia" w:ascii="仿宋" w:hAnsi="仿宋" w:eastAsia="仿宋" w:cs="仿宋"/>
                <w:color w:val="000000" w:themeColor="text1"/>
                <w:sz w:val="24"/>
                <w:szCs w:val="24"/>
                <w:vertAlign w:val="baseline"/>
                <w:lang w:eastAsia="zh-CN"/>
                <w14:textFill>
                  <w14:solidFill>
                    <w14:schemeClr w14:val="tx1"/>
                  </w14:solidFill>
                </w14:textFill>
              </w:rPr>
              <w:t>室、</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各学校（园）</w:t>
            </w:r>
            <w:r>
              <w:rPr>
                <w:rFonts w:hint="eastAsia" w:ascii="仿宋" w:hAnsi="仿宋" w:eastAsia="仿宋" w:cs="仿宋"/>
                <w:color w:val="000000" w:themeColor="text1"/>
                <w:sz w:val="24"/>
                <w:szCs w:val="24"/>
                <w:vertAlign w:val="baseline"/>
                <w14:textFill>
                  <w14:solidFill>
                    <w14:schemeClr w14:val="tx1"/>
                  </w14:solidFill>
                </w14:textFill>
              </w:rPr>
              <w:t>配合</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局</w:t>
            </w:r>
            <w:r>
              <w:rPr>
                <w:rFonts w:hint="eastAsia" w:ascii="仿宋" w:hAnsi="仿宋" w:eastAsia="仿宋" w:cs="仿宋"/>
                <w:color w:val="000000" w:themeColor="text1"/>
                <w:sz w:val="24"/>
                <w:szCs w:val="24"/>
                <w:vertAlign w:val="baseline"/>
                <w14:textFill>
                  <w14:solidFill>
                    <w14:schemeClr w14:val="tx1"/>
                  </w14:solidFill>
                </w14:textFill>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4" w:hRule="atLeast"/>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6</w:t>
            </w:r>
          </w:p>
        </w:tc>
        <w:tc>
          <w:tcPr>
            <w:tcW w:w="10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eastAsia="zh-CN"/>
                <w14:textFill>
                  <w14:solidFill>
                    <w14:schemeClr w14:val="tx1"/>
                  </w14:solidFill>
                </w14:textFill>
              </w:rPr>
            </w:pPr>
            <w:r>
              <w:rPr>
                <w:rFonts w:hint="eastAsia" w:ascii="仿宋" w:hAnsi="仿宋" w:eastAsia="仿宋" w:cs="仿宋"/>
                <w:color w:val="000000" w:themeColor="text1"/>
                <w:sz w:val="24"/>
                <w:szCs w:val="24"/>
                <w:vertAlign w:val="baseline"/>
                <w:lang w:eastAsia="zh-CN"/>
                <w14:textFill>
                  <w14:solidFill>
                    <w14:schemeClr w14:val="tx1"/>
                  </w14:solidFill>
                </w14:textFill>
              </w:rPr>
              <w:t>与业务相关的法律法规规章</w:t>
            </w:r>
          </w:p>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p>
        </w:tc>
        <w:tc>
          <w:tcPr>
            <w:tcW w:w="24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《行政复议法》《行政诉讼法》《宁夏行政复议条例》</w:t>
            </w:r>
          </w:p>
        </w:tc>
        <w:tc>
          <w:tcPr>
            <w:tcW w:w="37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w:t>
            </w:r>
            <w:r>
              <w:rPr>
                <w:rFonts w:hint="eastAsia" w:ascii="仿宋" w:hAnsi="仿宋" w:eastAsia="仿宋" w:cs="仿宋"/>
                <w:color w:val="000000" w:themeColor="text1"/>
                <w:sz w:val="24"/>
                <w:szCs w:val="24"/>
                <w:vertAlign w:val="baseline"/>
                <w14:textFill>
                  <w14:solidFill>
                    <w14:schemeClr w14:val="tx1"/>
                  </w14:solidFill>
                </w14:textFill>
              </w:rPr>
              <w:t>举办有关法治讲座、培训班。2.结合“法律八进”活动，组织开展以案释法活动。3.把学习相关法律作为基层党组织“三会一课”内容，列入每月“一法一条例”的学习。</w:t>
            </w:r>
          </w:p>
        </w:tc>
        <w:tc>
          <w:tcPr>
            <w:tcW w:w="41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1.将普法工作纳入本</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办室</w:t>
            </w:r>
            <w:r>
              <w:rPr>
                <w:rFonts w:hint="eastAsia" w:ascii="仿宋" w:hAnsi="仿宋" w:eastAsia="仿宋" w:cs="仿宋"/>
                <w:color w:val="000000" w:themeColor="text1"/>
                <w:sz w:val="24"/>
                <w:szCs w:val="24"/>
                <w:vertAlign w:val="baseline"/>
                <w14:textFill>
                  <w14:solidFill>
                    <w14:schemeClr w14:val="tx1"/>
                  </w14:solidFill>
                </w14:textFill>
              </w:rPr>
              <w:t>工作全局，与业务工作同部署、同检查、同落实。2.积极利用法律宣传日、宣传周、宣传月等载体，开展法治宣传活动，每年不少于1次。3.学法、普法活动有记录、有资料。</w:t>
            </w: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val="en-US"/>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机关各</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办</w:t>
            </w:r>
            <w:r>
              <w:rPr>
                <w:rFonts w:hint="eastAsia" w:ascii="仿宋" w:hAnsi="仿宋" w:eastAsia="仿宋" w:cs="仿宋"/>
                <w:color w:val="000000" w:themeColor="text1"/>
                <w:sz w:val="24"/>
                <w:szCs w:val="24"/>
                <w:vertAlign w:val="baseline"/>
                <w:lang w:eastAsia="zh-CN"/>
                <w14:textFill>
                  <w14:solidFill>
                    <w14:schemeClr w14:val="tx1"/>
                  </w14:solidFill>
                </w14:textFill>
              </w:rPr>
              <w:t>室、</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各学校（园）</w:t>
            </w:r>
            <w:r>
              <w:rPr>
                <w:rFonts w:hint="eastAsia" w:ascii="仿宋" w:hAnsi="仿宋" w:eastAsia="仿宋" w:cs="仿宋"/>
                <w:color w:val="000000" w:themeColor="text1"/>
                <w:sz w:val="24"/>
                <w:szCs w:val="24"/>
                <w:vertAlign w:val="baseline"/>
                <w14:textFill>
                  <w14:solidFill>
                    <w14:schemeClr w14:val="tx1"/>
                  </w14:solidFill>
                </w14:textFill>
              </w:rPr>
              <w:t>配合</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局</w:t>
            </w:r>
            <w:r>
              <w:rPr>
                <w:rFonts w:hint="eastAsia" w:ascii="仿宋" w:hAnsi="仿宋" w:eastAsia="仿宋" w:cs="仿宋"/>
                <w:color w:val="000000" w:themeColor="text1"/>
                <w:sz w:val="24"/>
                <w:szCs w:val="24"/>
                <w:vertAlign w:val="baseline"/>
                <w14:textFill>
                  <w14:solidFill>
                    <w14:schemeClr w14:val="tx1"/>
                  </w14:solidFill>
                </w14:textFill>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0" w:hRule="atLeast"/>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7</w:t>
            </w:r>
          </w:p>
        </w:tc>
        <w:tc>
          <w:tcPr>
            <w:tcW w:w="10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eastAsia="zh-CN"/>
                <w14:textFill>
                  <w14:solidFill>
                    <w14:schemeClr w14:val="tx1"/>
                  </w14:solidFill>
                </w14:textFill>
              </w:rPr>
            </w:pPr>
          </w:p>
        </w:tc>
        <w:tc>
          <w:tcPr>
            <w:tcW w:w="24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《行政许可法》《行政处罚法》《行政强制法》《宁夏行政执法监督条例》</w:t>
            </w:r>
          </w:p>
        </w:tc>
        <w:tc>
          <w:tcPr>
            <w:tcW w:w="37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w:t>
            </w:r>
            <w:r>
              <w:rPr>
                <w:rFonts w:hint="eastAsia" w:ascii="仿宋" w:hAnsi="仿宋" w:eastAsia="仿宋" w:cs="仿宋"/>
                <w:color w:val="000000" w:themeColor="text1"/>
                <w:sz w:val="24"/>
                <w:szCs w:val="24"/>
                <w:vertAlign w:val="baseline"/>
                <w14:textFill>
                  <w14:solidFill>
                    <w14:schemeClr w14:val="tx1"/>
                  </w14:solidFill>
                </w14:textFill>
              </w:rPr>
              <w:t>举办有关法治讲座、培训班。2.结合“法律八进”活动，组织开展以案释法活动。3.把学习相关法律作为基层党组织“三会一课”内容，列入每月“一法一条例”的学习。</w:t>
            </w:r>
          </w:p>
        </w:tc>
        <w:tc>
          <w:tcPr>
            <w:tcW w:w="41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1.将普法工作纳入本</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办室</w:t>
            </w:r>
            <w:r>
              <w:rPr>
                <w:rFonts w:hint="eastAsia" w:ascii="仿宋" w:hAnsi="仿宋" w:eastAsia="仿宋" w:cs="仿宋"/>
                <w:color w:val="000000" w:themeColor="text1"/>
                <w:sz w:val="24"/>
                <w:szCs w:val="24"/>
                <w:vertAlign w:val="baseline"/>
                <w14:textFill>
                  <w14:solidFill>
                    <w14:schemeClr w14:val="tx1"/>
                  </w14:solidFill>
                </w14:textFill>
              </w:rPr>
              <w:t>工作全局，与业务工作同部署、同检查、同落实。2.积极利用法律宣传日、宣传周、宣传月等载体，开展法治宣传活动，每年不少于1次。3.学法、普法活动有记录、有资料。</w:t>
            </w: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机关各</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办</w:t>
            </w:r>
            <w:r>
              <w:rPr>
                <w:rFonts w:hint="eastAsia" w:ascii="仿宋" w:hAnsi="仿宋" w:eastAsia="仿宋" w:cs="仿宋"/>
                <w:color w:val="000000" w:themeColor="text1"/>
                <w:sz w:val="24"/>
                <w:szCs w:val="24"/>
                <w:vertAlign w:val="baseline"/>
                <w:lang w:eastAsia="zh-CN"/>
                <w14:textFill>
                  <w14:solidFill>
                    <w14:schemeClr w14:val="tx1"/>
                  </w14:solidFill>
                </w14:textFill>
              </w:rPr>
              <w:t>室、</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各学校（园）</w:t>
            </w:r>
            <w:r>
              <w:rPr>
                <w:rFonts w:hint="eastAsia" w:ascii="仿宋" w:hAnsi="仿宋" w:eastAsia="仿宋" w:cs="仿宋"/>
                <w:color w:val="000000" w:themeColor="text1"/>
                <w:sz w:val="24"/>
                <w:szCs w:val="24"/>
                <w:vertAlign w:val="baseline"/>
                <w14:textFill>
                  <w14:solidFill>
                    <w14:schemeClr w14:val="tx1"/>
                  </w14:solidFill>
                </w14:textFill>
              </w:rPr>
              <w:t>配合</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局</w:t>
            </w:r>
            <w:r>
              <w:rPr>
                <w:rFonts w:hint="eastAsia" w:ascii="仿宋" w:hAnsi="仿宋" w:eastAsia="仿宋" w:cs="仿宋"/>
                <w:color w:val="000000" w:themeColor="text1"/>
                <w:sz w:val="24"/>
                <w:szCs w:val="24"/>
                <w:vertAlign w:val="baseline"/>
                <w14:textFill>
                  <w14:solidFill>
                    <w14:schemeClr w14:val="tx1"/>
                  </w14:solidFill>
                </w14:textFill>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9" w:hRule="atLeast"/>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9</w:t>
            </w: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eastAsia="zh-CN"/>
                <w14:textFill>
                  <w14:solidFill>
                    <w14:schemeClr w14:val="tx1"/>
                  </w14:solidFill>
                </w14:textFill>
              </w:rPr>
            </w:pPr>
            <w:r>
              <w:rPr>
                <w:rFonts w:hint="eastAsia" w:ascii="仿宋" w:hAnsi="仿宋" w:eastAsia="仿宋" w:cs="仿宋"/>
                <w:color w:val="000000" w:themeColor="text1"/>
                <w:sz w:val="24"/>
                <w:szCs w:val="24"/>
                <w:vertAlign w:val="baseline"/>
                <w:lang w:eastAsia="zh-CN"/>
                <w14:textFill>
                  <w14:solidFill>
                    <w14:schemeClr w14:val="tx1"/>
                  </w14:solidFill>
                </w14:textFill>
              </w:rPr>
              <w:t>与业务相关的法律法规规章</w:t>
            </w:r>
          </w:p>
        </w:tc>
        <w:tc>
          <w:tcPr>
            <w:tcW w:w="24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《人民调解法》</w:t>
            </w:r>
            <w:r>
              <w:rPr>
                <w:rFonts w:hint="eastAsia" w:ascii="仿宋" w:hAnsi="仿宋" w:eastAsia="仿宋" w:cs="仿宋"/>
                <w:color w:val="000000" w:themeColor="text1"/>
                <w:sz w:val="24"/>
                <w:szCs w:val="24"/>
                <w:vertAlign w:val="baseline"/>
                <w:lang w:eastAsia="zh-CN"/>
                <w14:textFill>
                  <w14:solidFill>
                    <w14:schemeClr w14:val="tx1"/>
                  </w14:solidFill>
                </w14:textFill>
              </w:rPr>
              <w:t>《残疾人教育条例，反家庭暴力法，婚姻法》《公职人员政务处分办法》《中国共产党章程、廉洁自律准则、政法工作条例》《国家安全法，生物安全法，安全生产法，宁夏回族自治区学校安全管理办法》</w:t>
            </w:r>
          </w:p>
        </w:tc>
        <w:tc>
          <w:tcPr>
            <w:tcW w:w="37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1.举办有关法治讲座、培训班。2.结合“法律八进”活动，组织开展以案释法活动。3.把学习相关法律作为基层党组织“三会一课”内容，列入每月“一法一条例”的学习。</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4.对全体教职员工开展人民共和国公职人员政务处分办法宣传教育，提高公职人员懂法知纪5.学习宣传安全生产法，保证学校安全生产三年行动计划贯彻落实。</w:t>
            </w:r>
          </w:p>
        </w:tc>
        <w:tc>
          <w:tcPr>
            <w:tcW w:w="41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1.将普法工作纳入本</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室工作</w:t>
            </w:r>
            <w:r>
              <w:rPr>
                <w:rFonts w:hint="eastAsia" w:ascii="仿宋" w:hAnsi="仿宋" w:eastAsia="仿宋" w:cs="仿宋"/>
                <w:color w:val="000000" w:themeColor="text1"/>
                <w:sz w:val="24"/>
                <w:szCs w:val="24"/>
                <w:vertAlign w:val="baseline"/>
                <w14:textFill>
                  <w14:solidFill>
                    <w14:schemeClr w14:val="tx1"/>
                  </w14:solidFill>
                </w14:textFill>
              </w:rPr>
              <w:t>，与业务工作同部署、同检查、同落实。2.积极利用法律宣传日、宣传周、宣传月等载体，开展法治宣传活动，每年不少于1次。3.学法、普法活动有记录、有资料。</w:t>
            </w: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机关各</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办</w:t>
            </w:r>
            <w:r>
              <w:rPr>
                <w:rFonts w:hint="eastAsia" w:ascii="仿宋" w:hAnsi="仿宋" w:eastAsia="仿宋" w:cs="仿宋"/>
                <w:color w:val="000000" w:themeColor="text1"/>
                <w:sz w:val="24"/>
                <w:szCs w:val="24"/>
                <w:vertAlign w:val="baseline"/>
                <w:lang w:eastAsia="zh-CN"/>
                <w14:textFill>
                  <w14:solidFill>
                    <w14:schemeClr w14:val="tx1"/>
                  </w14:solidFill>
                </w14:textFill>
              </w:rPr>
              <w:t>室、</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各学校（园）</w:t>
            </w:r>
            <w:r>
              <w:rPr>
                <w:rFonts w:hint="eastAsia" w:ascii="仿宋" w:hAnsi="仿宋" w:eastAsia="仿宋" w:cs="仿宋"/>
                <w:color w:val="000000" w:themeColor="text1"/>
                <w:sz w:val="24"/>
                <w:szCs w:val="24"/>
                <w:vertAlign w:val="baseline"/>
                <w14:textFill>
                  <w14:solidFill>
                    <w14:schemeClr w14:val="tx1"/>
                  </w14:solidFill>
                </w14:textFill>
              </w:rPr>
              <w:t>配合</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局</w:t>
            </w:r>
            <w:r>
              <w:rPr>
                <w:rFonts w:hint="eastAsia" w:ascii="仿宋" w:hAnsi="仿宋" w:eastAsia="仿宋" w:cs="仿宋"/>
                <w:color w:val="000000" w:themeColor="text1"/>
                <w:sz w:val="24"/>
                <w:szCs w:val="24"/>
                <w:vertAlign w:val="baseline"/>
                <w14:textFill>
                  <w14:solidFill>
                    <w14:schemeClr w14:val="tx1"/>
                  </w14:solidFill>
                </w14:textFill>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3" w:hRule="atLeast"/>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10</w:t>
            </w:r>
          </w:p>
        </w:tc>
        <w:tc>
          <w:tcPr>
            <w:tcW w:w="10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eastAsia="zh-CN"/>
                <w14:textFill>
                  <w14:solidFill>
                    <w14:schemeClr w14:val="tx1"/>
                  </w14:solidFill>
                </w14:textFill>
              </w:rPr>
            </w:pPr>
            <w:r>
              <w:rPr>
                <w:rFonts w:hint="eastAsia" w:ascii="仿宋" w:hAnsi="仿宋" w:eastAsia="仿宋" w:cs="仿宋"/>
                <w:color w:val="000000" w:themeColor="text1"/>
                <w:sz w:val="24"/>
                <w:szCs w:val="24"/>
                <w:vertAlign w:val="baseline"/>
                <w:lang w:eastAsia="zh-CN"/>
                <w14:textFill>
                  <w14:solidFill>
                    <w14:schemeClr w14:val="tx1"/>
                  </w14:solidFill>
                </w14:textFill>
              </w:rPr>
              <w:t>与业务相关的法律法规规章</w:t>
            </w:r>
          </w:p>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eastAsia="zh-CN"/>
                <w14:textFill>
                  <w14:solidFill>
                    <w14:schemeClr w14:val="tx1"/>
                  </w14:solidFill>
                </w14:textFill>
              </w:rPr>
            </w:pPr>
          </w:p>
        </w:tc>
        <w:tc>
          <w:tcPr>
            <w:tcW w:w="24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《教育法》</w:t>
            </w:r>
          </w:p>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eastAsia="zh-CN"/>
                <w14:textFill>
                  <w14:solidFill>
                    <w14:schemeClr w14:val="tx1"/>
                  </w14:solidFill>
                </w14:textFill>
              </w:rPr>
              <w:t>《义务教育法》</w:t>
            </w:r>
          </w:p>
        </w:tc>
        <w:tc>
          <w:tcPr>
            <w:tcW w:w="37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1.全面实施《教育法》，《义务教育法》坚持普法工作与法治实践相结合，把《教育法》普及宣传贯穿在教育管理和服务各个环节和全过程。</w:t>
            </w:r>
          </w:p>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2.坚持日常宣传和专题培训相结合，将《教育法》培训纳入教育部门行政人员、各级各类学校校长和教师培训内容，组织开展《教育法》专题培训，确保上述人员了解数值法律内容，明确其职责，权利、义务和国家的教育地位、方针、基本制度等。</w:t>
            </w:r>
          </w:p>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3.指导各学校（园）采取多种形式，面向学校管理者、教师、学生和家长或其监护人开展《教育法》的宣传和普及，让其了解和熟知自身的权利和义务。</w:t>
            </w:r>
          </w:p>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4.充分利用西吉县政府网站、西吉教育微信公众号，积极组织开展面向社会公众的《教育法》普及与宣传，提高公众对《教育法》的知晓率。</w:t>
            </w:r>
          </w:p>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5.坚持普治并举，推进依法行政，依法治教、和依法治校，推进教育行政执法机制改革，指导县（区）教育部门依法解决教育热点和难点问题。不断提高教育系统法治化水平。</w:t>
            </w:r>
          </w:p>
        </w:tc>
        <w:tc>
          <w:tcPr>
            <w:tcW w:w="41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1.教育行政部门人员、各学校（园）长和管理人员了解和知晓《教育法》所明确的教育地位、方针、基本教育制度，以及学校和其他教育机构、教师和其他教育工作者、受教育者的权利和义务，在管理和服务中能够按法律规定执行。</w:t>
            </w:r>
          </w:p>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2.科教兴国战略深入人心，社会公众对于优先发展教育的地位、德智体美全面发展教育方针、受教育者的权利和义务知晓率全面提高。</w:t>
            </w: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机关各</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办</w:t>
            </w:r>
            <w:r>
              <w:rPr>
                <w:rFonts w:hint="eastAsia" w:ascii="仿宋" w:hAnsi="仿宋" w:eastAsia="仿宋" w:cs="仿宋"/>
                <w:color w:val="000000" w:themeColor="text1"/>
                <w:sz w:val="24"/>
                <w:szCs w:val="24"/>
                <w:vertAlign w:val="baseline"/>
                <w:lang w:eastAsia="zh-CN"/>
                <w14:textFill>
                  <w14:solidFill>
                    <w14:schemeClr w14:val="tx1"/>
                  </w14:solidFill>
                </w14:textFill>
              </w:rPr>
              <w:t>室、</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各学校（园）</w:t>
            </w:r>
            <w:r>
              <w:rPr>
                <w:rFonts w:hint="eastAsia" w:ascii="仿宋" w:hAnsi="仿宋" w:eastAsia="仿宋" w:cs="仿宋"/>
                <w:color w:val="000000" w:themeColor="text1"/>
                <w:sz w:val="24"/>
                <w:szCs w:val="24"/>
                <w:vertAlign w:val="baseline"/>
                <w14:textFill>
                  <w14:solidFill>
                    <w14:schemeClr w14:val="tx1"/>
                  </w14:solidFill>
                </w14:textFill>
              </w:rPr>
              <w:t>配合</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局</w:t>
            </w:r>
            <w:r>
              <w:rPr>
                <w:rFonts w:hint="eastAsia" w:ascii="仿宋" w:hAnsi="仿宋" w:eastAsia="仿宋" w:cs="仿宋"/>
                <w:color w:val="000000" w:themeColor="text1"/>
                <w:sz w:val="24"/>
                <w:szCs w:val="24"/>
                <w:vertAlign w:val="baseline"/>
                <w14:textFill>
                  <w14:solidFill>
                    <w14:schemeClr w14:val="tx1"/>
                  </w14:solidFill>
                </w14:textFill>
              </w:rPr>
              <w:t xml:space="preserve">全体干部职工； </w:t>
            </w:r>
            <w:r>
              <w:rPr>
                <w:rFonts w:hint="eastAsia" w:ascii="仿宋" w:hAnsi="仿宋" w:eastAsia="仿宋" w:cs="仿宋"/>
                <w:color w:val="000000" w:themeColor="text1"/>
                <w:sz w:val="24"/>
                <w:szCs w:val="24"/>
                <w:vertAlign w:val="baseline"/>
                <w:lang w:eastAsia="zh-CN"/>
                <w14:textFill>
                  <w14:solidFill>
                    <w14:schemeClr w14:val="tx1"/>
                  </w14:solidFill>
                </w14:textFill>
              </w:rPr>
              <w:t>全县教职员工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2" w:hRule="atLeast"/>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11</w:t>
            </w:r>
          </w:p>
        </w:tc>
        <w:tc>
          <w:tcPr>
            <w:tcW w:w="10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eastAsia="zh-CN"/>
                <w14:textFill>
                  <w14:solidFill>
                    <w14:schemeClr w14:val="tx1"/>
                  </w14:solidFill>
                </w14:textFill>
              </w:rPr>
            </w:pPr>
          </w:p>
        </w:tc>
        <w:tc>
          <w:tcPr>
            <w:tcW w:w="24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开展《安全生产法》《道路交通安全法》《食品安全法》</w:t>
            </w:r>
            <w:r>
              <w:rPr>
                <w:rFonts w:hint="eastAsia" w:ascii="仿宋" w:hAnsi="仿宋" w:eastAsia="仿宋" w:cs="仿宋"/>
                <w:color w:val="000000" w:themeColor="text1"/>
                <w:sz w:val="24"/>
                <w:szCs w:val="24"/>
                <w:vertAlign w:val="baseline"/>
                <w:lang w:eastAsia="zh-CN"/>
                <w14:textFill>
                  <w14:solidFill>
                    <w14:schemeClr w14:val="tx1"/>
                  </w14:solidFill>
                </w14:textFill>
              </w:rPr>
              <w:t>《自治区禁毒条例》</w:t>
            </w:r>
            <w:r>
              <w:rPr>
                <w:rFonts w:hint="eastAsia" w:ascii="仿宋" w:hAnsi="仿宋" w:eastAsia="仿宋" w:cs="仿宋"/>
                <w:color w:val="000000" w:themeColor="text1"/>
                <w:sz w:val="24"/>
                <w:szCs w:val="24"/>
                <w:vertAlign w:val="baseline"/>
                <w14:textFill>
                  <w14:solidFill>
                    <w14:schemeClr w14:val="tx1"/>
                  </w14:solidFill>
                </w14:textFill>
              </w:rPr>
              <w:t>《反食品浪费法》《最高人民</w:t>
            </w:r>
            <w:r>
              <w:rPr>
                <w:rFonts w:hint="eastAsia" w:ascii="仿宋" w:hAnsi="仿宋" w:eastAsia="仿宋" w:cs="仿宋"/>
                <w:color w:val="000000" w:themeColor="text1"/>
                <w:sz w:val="24"/>
                <w:szCs w:val="24"/>
                <w:vertAlign w:val="baseline"/>
                <w14:textFill>
                  <w14:solidFill>
                    <w14:schemeClr w14:val="tx1"/>
                  </w14:solidFill>
                </w14:textFill>
              </w:rPr>
              <w:fldChar w:fldCharType="begin"/>
            </w:r>
            <w:r>
              <w:rPr>
                <w:rFonts w:hint="eastAsia" w:ascii="仿宋" w:hAnsi="仿宋" w:eastAsia="仿宋" w:cs="仿宋"/>
                <w:color w:val="000000" w:themeColor="text1"/>
                <w:sz w:val="24"/>
                <w:szCs w:val="24"/>
                <w:vertAlign w:val="baseline"/>
                <w14:textFill>
                  <w14:solidFill>
                    <w14:schemeClr w14:val="tx1"/>
                  </w14:solidFill>
                </w14:textFill>
              </w:rPr>
              <w:instrText xml:space="preserve"> HYPERLINK "https://www.66law.cn/special/fayuan/" \o "法院" \t "https://www.66law.cn/laws/_blank" </w:instrText>
            </w:r>
            <w:r>
              <w:rPr>
                <w:rFonts w:hint="eastAsia" w:ascii="仿宋" w:hAnsi="仿宋" w:eastAsia="仿宋" w:cs="仿宋"/>
                <w:color w:val="000000" w:themeColor="text1"/>
                <w:sz w:val="24"/>
                <w:szCs w:val="24"/>
                <w:vertAlign w:val="baseline"/>
                <w14:textFill>
                  <w14:solidFill>
                    <w14:schemeClr w14:val="tx1"/>
                  </w14:solidFill>
                </w14:textFill>
              </w:rPr>
              <w:fldChar w:fldCharType="separate"/>
            </w:r>
            <w:r>
              <w:rPr>
                <w:rFonts w:hint="eastAsia" w:ascii="仿宋" w:hAnsi="仿宋" w:eastAsia="仿宋" w:cs="仿宋"/>
                <w:color w:val="000000" w:themeColor="text1"/>
                <w:sz w:val="24"/>
                <w:szCs w:val="24"/>
                <w:vertAlign w:val="baseline"/>
                <w14:textFill>
                  <w14:solidFill>
                    <w14:schemeClr w14:val="tx1"/>
                  </w14:solidFill>
                </w14:textFill>
              </w:rPr>
              <w:t>法院</w:t>
            </w:r>
            <w:r>
              <w:rPr>
                <w:rFonts w:hint="eastAsia" w:ascii="仿宋" w:hAnsi="仿宋" w:eastAsia="仿宋" w:cs="仿宋"/>
                <w:color w:val="000000" w:themeColor="text1"/>
                <w:sz w:val="24"/>
                <w:szCs w:val="24"/>
                <w:vertAlign w:val="baseline"/>
                <w14:textFill>
                  <w14:solidFill>
                    <w14:schemeClr w14:val="tx1"/>
                  </w14:solidFill>
                </w14:textFill>
              </w:rPr>
              <w:fldChar w:fldCharType="end"/>
            </w:r>
            <w:r>
              <w:rPr>
                <w:rFonts w:hint="eastAsia" w:ascii="仿宋" w:hAnsi="仿宋" w:eastAsia="仿宋" w:cs="仿宋"/>
                <w:color w:val="000000" w:themeColor="text1"/>
                <w:sz w:val="24"/>
                <w:szCs w:val="24"/>
                <w:vertAlign w:val="baseline"/>
                <w14:textFill>
                  <w14:solidFill>
                    <w14:schemeClr w14:val="tx1"/>
                  </w14:solidFill>
                </w14:textFill>
              </w:rPr>
              <w:t>、最高人民检察院、公安部关于办理电信</w:t>
            </w:r>
            <w:r>
              <w:rPr>
                <w:rFonts w:hint="eastAsia" w:ascii="仿宋" w:hAnsi="仿宋" w:eastAsia="仿宋" w:cs="仿宋"/>
                <w:color w:val="000000" w:themeColor="text1"/>
                <w:sz w:val="24"/>
                <w:szCs w:val="24"/>
                <w:vertAlign w:val="baseline"/>
                <w14:textFill>
                  <w14:solidFill>
                    <w14:schemeClr w14:val="tx1"/>
                  </w14:solidFill>
                </w14:textFill>
              </w:rPr>
              <w:fldChar w:fldCharType="begin"/>
            </w:r>
            <w:r>
              <w:rPr>
                <w:rFonts w:hint="eastAsia" w:ascii="仿宋" w:hAnsi="仿宋" w:eastAsia="仿宋" w:cs="仿宋"/>
                <w:color w:val="000000" w:themeColor="text1"/>
                <w:sz w:val="24"/>
                <w:szCs w:val="24"/>
                <w:vertAlign w:val="baseline"/>
                <w14:textFill>
                  <w14:solidFill>
                    <w14:schemeClr w14:val="tx1"/>
                  </w14:solidFill>
                </w14:textFill>
              </w:rPr>
              <w:instrText xml:space="preserve"> HYPERLINK "https://www.66law.cn/special/wlzp/" \o "网络诈骗" \t "https://www.66law.cn/laws/_blank" </w:instrText>
            </w:r>
            <w:r>
              <w:rPr>
                <w:rFonts w:hint="eastAsia" w:ascii="仿宋" w:hAnsi="仿宋" w:eastAsia="仿宋" w:cs="仿宋"/>
                <w:color w:val="000000" w:themeColor="text1"/>
                <w:sz w:val="24"/>
                <w:szCs w:val="24"/>
                <w:vertAlign w:val="baseline"/>
                <w14:textFill>
                  <w14:solidFill>
                    <w14:schemeClr w14:val="tx1"/>
                  </w14:solidFill>
                </w14:textFill>
              </w:rPr>
              <w:fldChar w:fldCharType="separate"/>
            </w:r>
            <w:r>
              <w:rPr>
                <w:rFonts w:hint="eastAsia" w:ascii="仿宋" w:hAnsi="仿宋" w:eastAsia="仿宋" w:cs="仿宋"/>
                <w:color w:val="000000" w:themeColor="text1"/>
                <w:sz w:val="24"/>
                <w:szCs w:val="24"/>
                <w:vertAlign w:val="baseline"/>
                <w14:textFill>
                  <w14:solidFill>
                    <w14:schemeClr w14:val="tx1"/>
                  </w14:solidFill>
                </w14:textFill>
              </w:rPr>
              <w:t>网络诈骗</w:t>
            </w:r>
            <w:r>
              <w:rPr>
                <w:rFonts w:hint="eastAsia" w:ascii="仿宋" w:hAnsi="仿宋" w:eastAsia="仿宋" w:cs="仿宋"/>
                <w:color w:val="000000" w:themeColor="text1"/>
                <w:sz w:val="24"/>
                <w:szCs w:val="24"/>
                <w:vertAlign w:val="baseline"/>
                <w14:textFill>
                  <w14:solidFill>
                    <w14:schemeClr w14:val="tx1"/>
                  </w14:solidFill>
                </w14:textFill>
              </w:rPr>
              <w:fldChar w:fldCharType="end"/>
            </w:r>
            <w:r>
              <w:rPr>
                <w:rFonts w:hint="eastAsia" w:ascii="仿宋" w:hAnsi="仿宋" w:eastAsia="仿宋" w:cs="仿宋"/>
                <w:color w:val="000000" w:themeColor="text1"/>
                <w:sz w:val="24"/>
                <w:szCs w:val="24"/>
                <w:vertAlign w:val="baseline"/>
                <w14:textFill>
                  <w14:solidFill>
                    <w14:schemeClr w14:val="tx1"/>
                  </w14:solidFill>
                </w14:textFill>
              </w:rPr>
              <w:t>等刑事案件适用法律若干问题的意见》</w:t>
            </w:r>
            <w:r>
              <w:rPr>
                <w:rFonts w:hint="eastAsia" w:ascii="仿宋" w:hAnsi="仿宋" w:eastAsia="仿宋" w:cs="仿宋"/>
                <w:color w:val="000000" w:themeColor="text1"/>
                <w:sz w:val="24"/>
                <w:szCs w:val="24"/>
                <w:vertAlign w:val="baseline"/>
                <w:lang w:eastAsia="zh-CN"/>
                <w14:textFill>
                  <w14:solidFill>
                    <w14:schemeClr w14:val="tx1"/>
                  </w14:solidFill>
                </w14:textFill>
              </w:rPr>
              <w:t>等</w:t>
            </w:r>
            <w:r>
              <w:rPr>
                <w:rFonts w:hint="eastAsia" w:ascii="仿宋" w:hAnsi="仿宋" w:eastAsia="仿宋" w:cs="仿宋"/>
                <w:color w:val="000000" w:themeColor="text1"/>
                <w:sz w:val="24"/>
                <w:szCs w:val="24"/>
                <w:vertAlign w:val="baseline"/>
                <w14:textFill>
                  <w14:solidFill>
                    <w14:schemeClr w14:val="tx1"/>
                  </w14:solidFill>
                </w14:textFill>
              </w:rPr>
              <w:t>“法治进校园”活动</w:t>
            </w:r>
          </w:p>
        </w:tc>
        <w:tc>
          <w:tcPr>
            <w:tcW w:w="37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1．把法治教育纳入国民教育体系。重视教师队伍的法治宣传教育，实施中小学校法治课教师培训计划，把法律知识的学习纳入教师专业知识、综合水平继续教育的范畴。2.多方协作，会同检察机关、法院、公安、交通、消防、食监、禁毒等部门开展“法治进校园”活动，共同推进面向青少年学生的普法宣传教育。3.建立学校、家庭、社会一体化的青少年法治教育网络，加强校园法治文化建设，指导学校把法治精神、法治思维和法治方式落实在学校教育、管理、服务的各个环节，实现环境育人。</w:t>
            </w:r>
          </w:p>
        </w:tc>
        <w:tc>
          <w:tcPr>
            <w:tcW w:w="41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1．全面构建起“课程教材、师资培训、基地建设、活动开展、科研引领、制度完善、多方协作、评价考核”“八位一体”的青少年法治教育体系。2．坚持发挥法治教育第一课堂的作用，确保法治教育“计划、课时、教材、教师、教案、考核”六落实。3．加强法治师资培训，每所学校有一名经过系统培训的法治课教师。中小学法治副校长配备县城学校达到100%，其它学校达到90%以上。4．多方协作，共同推进“法治进校园”活动覆盖中小学校，取得明显成效。5.学校法治教育宣传形式和载体多样，内容丰富，取得良好成效。</w:t>
            </w: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机关各</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办</w:t>
            </w:r>
            <w:r>
              <w:rPr>
                <w:rFonts w:hint="eastAsia" w:ascii="仿宋" w:hAnsi="仿宋" w:eastAsia="仿宋" w:cs="仿宋"/>
                <w:color w:val="000000" w:themeColor="text1"/>
                <w:sz w:val="24"/>
                <w:szCs w:val="24"/>
                <w:vertAlign w:val="baseline"/>
                <w:lang w:eastAsia="zh-CN"/>
                <w14:textFill>
                  <w14:solidFill>
                    <w14:schemeClr w14:val="tx1"/>
                  </w14:solidFill>
                </w14:textFill>
              </w:rPr>
              <w:t>室、</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各学校（园）</w:t>
            </w:r>
            <w:r>
              <w:rPr>
                <w:rFonts w:hint="eastAsia" w:ascii="仿宋" w:hAnsi="仿宋" w:eastAsia="仿宋" w:cs="仿宋"/>
                <w:color w:val="000000" w:themeColor="text1"/>
                <w:sz w:val="24"/>
                <w:szCs w:val="24"/>
                <w:vertAlign w:val="baseline"/>
                <w14:textFill>
                  <w14:solidFill>
                    <w14:schemeClr w14:val="tx1"/>
                  </w14:solidFill>
                </w14:textFill>
              </w:rPr>
              <w:t>配合</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局</w:t>
            </w:r>
            <w:r>
              <w:rPr>
                <w:rFonts w:hint="eastAsia" w:ascii="仿宋" w:hAnsi="仿宋" w:eastAsia="仿宋" w:cs="仿宋"/>
                <w:color w:val="000000" w:themeColor="text1"/>
                <w:sz w:val="24"/>
                <w:szCs w:val="24"/>
                <w:vertAlign w:val="baseline"/>
                <w14:textFill>
                  <w14:solidFill>
                    <w14:schemeClr w14:val="tx1"/>
                  </w14:solidFill>
                </w14:textFill>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12</w:t>
            </w: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 w:hAnsi="仿宋" w:eastAsia="仿宋" w:cs="仿宋"/>
                <w:color w:val="000000" w:themeColor="text1"/>
                <w:sz w:val="24"/>
                <w:szCs w:val="24"/>
                <w:vertAlign w:val="baseline"/>
                <w:lang w:eastAsia="zh-CN"/>
                <w14:textFill>
                  <w14:solidFill>
                    <w14:schemeClr w14:val="tx1"/>
                  </w14:solidFill>
                </w14:textFill>
              </w:rPr>
            </w:pPr>
            <w:r>
              <w:rPr>
                <w:rFonts w:hint="eastAsia" w:ascii="仿宋" w:hAnsi="仿宋" w:eastAsia="仿宋" w:cs="仿宋"/>
                <w:color w:val="000000" w:themeColor="text1"/>
                <w:sz w:val="24"/>
                <w:szCs w:val="24"/>
                <w:vertAlign w:val="baseline"/>
                <w:lang w:eastAsia="zh-CN"/>
                <w14:textFill>
                  <w14:solidFill>
                    <w14:schemeClr w14:val="tx1"/>
                  </w14:solidFill>
                </w14:textFill>
              </w:rPr>
              <w:t>与业务相关的法律法规规章</w:t>
            </w:r>
          </w:p>
        </w:tc>
        <w:tc>
          <w:tcPr>
            <w:tcW w:w="24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w:t>
            </w:r>
            <w:r>
              <w:rPr>
                <w:rFonts w:hint="eastAsia" w:ascii="仿宋" w:hAnsi="仿宋" w:eastAsia="仿宋" w:cs="仿宋"/>
                <w:color w:val="000000" w:themeColor="text1"/>
                <w:sz w:val="24"/>
                <w:szCs w:val="24"/>
                <w:vertAlign w:val="baseline"/>
                <w:lang w:eastAsia="zh-CN"/>
                <w14:textFill>
                  <w14:solidFill>
                    <w14:schemeClr w14:val="tx1"/>
                  </w14:solidFill>
                </w14:textFill>
              </w:rPr>
              <w:t>未成年人保护法</w:t>
            </w:r>
            <w:r>
              <w:rPr>
                <w:rFonts w:hint="eastAsia" w:ascii="仿宋" w:hAnsi="仿宋" w:eastAsia="仿宋" w:cs="仿宋"/>
                <w:color w:val="000000" w:themeColor="text1"/>
                <w:sz w:val="24"/>
                <w:szCs w:val="24"/>
                <w:vertAlign w:val="baseline"/>
                <w14:textFill>
                  <w14:solidFill>
                    <w14:schemeClr w14:val="tx1"/>
                  </w14:solidFill>
                </w14:textFill>
              </w:rPr>
              <w:t>》《</w:t>
            </w:r>
            <w:r>
              <w:rPr>
                <w:rFonts w:hint="eastAsia" w:ascii="仿宋" w:hAnsi="仿宋" w:eastAsia="仿宋" w:cs="仿宋"/>
                <w:color w:val="000000" w:themeColor="text1"/>
                <w:sz w:val="24"/>
                <w:szCs w:val="24"/>
                <w:vertAlign w:val="baseline"/>
                <w:lang w:eastAsia="zh-CN"/>
                <w14:textFill>
                  <w14:solidFill>
                    <w14:schemeClr w14:val="tx1"/>
                  </w14:solidFill>
                </w14:textFill>
              </w:rPr>
              <w:t>职业教育法</w:t>
            </w:r>
            <w:r>
              <w:rPr>
                <w:rFonts w:hint="eastAsia" w:ascii="仿宋" w:hAnsi="仿宋" w:eastAsia="仿宋" w:cs="仿宋"/>
                <w:color w:val="000000" w:themeColor="text1"/>
                <w:sz w:val="24"/>
                <w:szCs w:val="24"/>
                <w:vertAlign w:val="baseline"/>
                <w14:textFill>
                  <w14:solidFill>
                    <w14:schemeClr w14:val="tx1"/>
                  </w14:solidFill>
                </w14:textFill>
              </w:rPr>
              <w:t>》《</w:t>
            </w:r>
            <w:r>
              <w:rPr>
                <w:rFonts w:hint="eastAsia" w:ascii="仿宋" w:hAnsi="仿宋" w:eastAsia="仿宋" w:cs="仿宋"/>
                <w:color w:val="000000" w:themeColor="text1"/>
                <w:sz w:val="24"/>
                <w:szCs w:val="24"/>
                <w:vertAlign w:val="baseline"/>
                <w:lang w:eastAsia="zh-CN"/>
                <w14:textFill>
                  <w14:solidFill>
                    <w14:schemeClr w14:val="tx1"/>
                  </w14:solidFill>
                </w14:textFill>
              </w:rPr>
              <w:t>教师法</w:t>
            </w:r>
            <w:r>
              <w:rPr>
                <w:rFonts w:hint="eastAsia" w:ascii="仿宋" w:hAnsi="仿宋" w:eastAsia="仿宋" w:cs="仿宋"/>
                <w:color w:val="000000" w:themeColor="text1"/>
                <w:sz w:val="24"/>
                <w:szCs w:val="24"/>
                <w:vertAlign w:val="baseline"/>
                <w14:textFill>
                  <w14:solidFill>
                    <w14:schemeClr w14:val="tx1"/>
                  </w14:solidFill>
                </w14:textFill>
              </w:rPr>
              <w:t>》</w:t>
            </w:r>
          </w:p>
        </w:tc>
        <w:tc>
          <w:tcPr>
            <w:tcW w:w="37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1.推动教育行政部门、学校、社会组织落实未成年人保护法法定职责，以施促普。</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2.各学校要加强宣传学习，组织对</w:t>
            </w:r>
            <w:r>
              <w:rPr>
                <w:rFonts w:hint="eastAsia" w:ascii="仿宋" w:hAnsi="仿宋" w:eastAsia="仿宋" w:cs="仿宋"/>
                <w:color w:val="000000" w:themeColor="text1"/>
                <w:sz w:val="24"/>
                <w:szCs w:val="24"/>
                <w:vertAlign w:val="baseline"/>
                <w:lang w:eastAsia="zh-CN"/>
                <w14:textFill>
                  <w14:solidFill>
                    <w14:schemeClr w14:val="tx1"/>
                  </w14:solidFill>
                </w14:textFill>
              </w:rPr>
              <w:t>未成年人保护法</w:t>
            </w:r>
            <w:r>
              <w:rPr>
                <w:rFonts w:hint="eastAsia" w:ascii="仿宋" w:hAnsi="仿宋" w:eastAsia="仿宋" w:cs="仿宋"/>
                <w:color w:val="000000" w:themeColor="text1"/>
                <w:sz w:val="24"/>
                <w:szCs w:val="24"/>
                <w:vertAlign w:val="baseline"/>
                <w14:textFill>
                  <w14:solidFill>
                    <w14:schemeClr w14:val="tx1"/>
                  </w14:solidFill>
                </w14:textFill>
              </w:rPr>
              <w:t>进行解读式培训，真正使全体教师把握</w:t>
            </w:r>
            <w:r>
              <w:rPr>
                <w:rFonts w:hint="eastAsia" w:ascii="仿宋" w:hAnsi="仿宋" w:eastAsia="仿宋" w:cs="仿宋"/>
                <w:color w:val="000000" w:themeColor="text1"/>
                <w:sz w:val="24"/>
                <w:szCs w:val="24"/>
                <w:vertAlign w:val="baseline"/>
                <w:lang w:eastAsia="zh-CN"/>
                <w14:textFill>
                  <w14:solidFill>
                    <w14:schemeClr w14:val="tx1"/>
                  </w14:solidFill>
                </w14:textFill>
              </w:rPr>
              <w:t>未成年人保护法</w:t>
            </w:r>
            <w:r>
              <w:rPr>
                <w:rFonts w:hint="eastAsia" w:ascii="仿宋" w:hAnsi="仿宋" w:eastAsia="仿宋" w:cs="仿宋"/>
                <w:color w:val="000000" w:themeColor="text1"/>
                <w:sz w:val="24"/>
                <w:szCs w:val="24"/>
                <w:vertAlign w:val="baseline"/>
                <w14:textFill>
                  <w14:solidFill>
                    <w14:schemeClr w14:val="tx1"/>
                  </w14:solidFill>
                </w14:textFill>
              </w:rPr>
              <w:t>精髓</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,3.</w:t>
            </w:r>
            <w:r>
              <w:rPr>
                <w:rFonts w:hint="eastAsia" w:ascii="仿宋" w:hAnsi="仿宋" w:eastAsia="仿宋" w:cs="仿宋"/>
                <w:color w:val="000000" w:themeColor="text1"/>
                <w:sz w:val="24"/>
                <w:szCs w:val="24"/>
                <w:vertAlign w:val="baseline"/>
                <w14:textFill>
                  <w14:solidFill>
                    <w14:schemeClr w14:val="tx1"/>
                  </w14:solidFill>
                </w14:textFill>
              </w:rPr>
              <w:t>学校、幼儿园的教职员工应当尊重未成年人人格尊严，不得对未成年人实施体罚、变相体罚或者其他侮辱人格尊严的行为。学校应当配合政府有关部门建立留守未成年学生、困境未成年学生的信息档案，开展关爱帮扶工作。任何人不得在学校、幼儿园和其他未成年人集中活动的公共场所吸烟、饮酒。未成年人在校内、园内或者本校、本园组织的校外、园外活动中发生人身伤害事故的，学校、幼儿园应当立即救护，妥善处理，及时通知未成年人的父母或者其他监护人，并向有关部门报告。未成年人的父母或者其他监护人接到被委托人、居民委员会、村民委员会、学校、幼儿园等关于未成年人心理、行为异常的通知后，应当及时采取干预措施。</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4</w:t>
            </w:r>
            <w:r>
              <w:rPr>
                <w:rFonts w:hint="eastAsia" w:ascii="仿宋" w:hAnsi="仿宋" w:eastAsia="仿宋" w:cs="仿宋"/>
                <w:color w:val="000000" w:themeColor="text1"/>
                <w:sz w:val="24"/>
                <w:szCs w:val="24"/>
                <w:vertAlign w:val="baseline"/>
                <w14:textFill>
                  <w14:solidFill>
                    <w14:schemeClr w14:val="tx1"/>
                  </w14:solidFill>
                </w14:textFill>
              </w:rPr>
              <w:t>.组织对教育行政部门负责人以及职业院校的举办者、校长进行专题培训，将职业教育法的普及列入职业院校行政管理人员和教师培训内容，解读和普及职业教育法及相关法规。</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p>
        </w:tc>
        <w:tc>
          <w:tcPr>
            <w:tcW w:w="4105"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将普法工作纳入本</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办室</w:t>
            </w:r>
            <w:r>
              <w:rPr>
                <w:rFonts w:hint="eastAsia" w:ascii="仿宋" w:hAnsi="仿宋" w:eastAsia="仿宋" w:cs="仿宋"/>
                <w:color w:val="000000" w:themeColor="text1"/>
                <w:sz w:val="24"/>
                <w:szCs w:val="24"/>
                <w:vertAlign w:val="baseline"/>
                <w14:textFill>
                  <w14:solidFill>
                    <w14:schemeClr w14:val="tx1"/>
                  </w14:solidFill>
                </w14:textFill>
              </w:rPr>
              <w:t>工作全局，与业务工作同部署、同检查、同落实。2.积极利用法律宣传日、宣传周、宣传月等载体，开展法治宣传活动，每年不少于1次。3.学法、普法活动有记录、有资料。</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4</w:t>
            </w:r>
            <w:r>
              <w:rPr>
                <w:rFonts w:hint="eastAsia" w:ascii="仿宋" w:hAnsi="仿宋" w:eastAsia="仿宋" w:cs="仿宋"/>
                <w:color w:val="000000" w:themeColor="text1"/>
                <w:sz w:val="24"/>
                <w:szCs w:val="24"/>
                <w:vertAlign w:val="baseline"/>
                <w14:textFill>
                  <w14:solidFill>
                    <w14:schemeClr w14:val="tx1"/>
                  </w14:solidFill>
                </w14:textFill>
              </w:rPr>
              <w:t>. </w:t>
            </w:r>
            <w:r>
              <w:rPr>
                <w:rFonts w:hint="eastAsia" w:ascii="仿宋" w:hAnsi="仿宋" w:eastAsia="仿宋" w:cs="仿宋"/>
                <w:color w:val="000000" w:themeColor="text1"/>
                <w:sz w:val="24"/>
                <w:szCs w:val="24"/>
                <w:vertAlign w:val="baseline"/>
                <w:lang w:eastAsia="zh-CN"/>
                <w14:textFill>
                  <w14:solidFill>
                    <w14:schemeClr w14:val="tx1"/>
                  </w14:solidFill>
                </w14:textFill>
              </w:rPr>
              <w:t>依据</w:t>
            </w:r>
            <w:r>
              <w:rPr>
                <w:rFonts w:hint="eastAsia" w:ascii="仿宋" w:hAnsi="仿宋" w:eastAsia="仿宋" w:cs="仿宋"/>
                <w:color w:val="000000" w:themeColor="text1"/>
                <w:sz w:val="24"/>
                <w:szCs w:val="24"/>
                <w:vertAlign w:val="baseline"/>
                <w14:textFill>
                  <w14:solidFill>
                    <w14:schemeClr w14:val="tx1"/>
                  </w14:solidFill>
                </w14:textFill>
              </w:rPr>
              <w:t>《中华人民共和国未成年人保护法》</w:t>
            </w:r>
            <w:r>
              <w:rPr>
                <w:rFonts w:hint="eastAsia" w:ascii="仿宋" w:hAnsi="仿宋" w:eastAsia="仿宋" w:cs="仿宋"/>
                <w:color w:val="000000" w:themeColor="text1"/>
                <w:sz w:val="24"/>
                <w:szCs w:val="24"/>
                <w:vertAlign w:val="baseline"/>
                <w:lang w:eastAsia="zh-CN"/>
                <w14:textFill>
                  <w14:solidFill>
                    <w14:schemeClr w14:val="tx1"/>
                  </w14:solidFill>
                </w14:textFill>
              </w:rPr>
              <w:t>要</w:t>
            </w:r>
            <w:r>
              <w:rPr>
                <w:rFonts w:hint="eastAsia" w:ascii="仿宋" w:hAnsi="仿宋" w:eastAsia="仿宋" w:cs="仿宋"/>
                <w:color w:val="000000" w:themeColor="text1"/>
                <w:sz w:val="24"/>
                <w:szCs w:val="24"/>
                <w:vertAlign w:val="baseline"/>
                <w14:textFill>
                  <w14:solidFill>
                    <w14:schemeClr w14:val="tx1"/>
                  </w14:solidFill>
                </w14:textFill>
              </w:rPr>
              <w:t>保护未成年人身心健康，保障未成年人合法权益，促进未成年人德智体美劳全面发展，培养有理想、有道德、有文化、有纪律的社会主义建设者和接班人，培养担当民族复兴大任的时代新人，根据宪法，制定的法律。2020年10月17日，第十三届全国人民代表大会常务委员会第二十二次会议第二次修订《中华人民共和国未成年人保护法》，自2021年6月1日起施行。修订后的未成年人保护法分为总则、家庭保护、学校保护、社会保护、网络保护、政府保护、司法保护、法律责任和附则，共九章132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5.</w:t>
            </w:r>
            <w:r>
              <w:rPr>
                <w:rFonts w:hint="eastAsia" w:ascii="仿宋" w:hAnsi="仿宋" w:eastAsia="仿宋" w:cs="仿宋"/>
                <w:color w:val="000000" w:themeColor="text1"/>
                <w:sz w:val="24"/>
                <w:szCs w:val="24"/>
                <w:vertAlign w:val="baseline"/>
                <w14:textFill>
                  <w14:solidFill>
                    <w14:schemeClr w14:val="tx1"/>
                  </w14:solidFill>
                </w14:textFill>
              </w:rPr>
              <w:t>教育行政部门以及职业院校的校领导熟练掌握《职业教育法》相关内容，并在管理中能够按要求执行；</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6</w:t>
            </w:r>
            <w:r>
              <w:rPr>
                <w:rFonts w:hint="eastAsia" w:ascii="仿宋" w:hAnsi="仿宋" w:eastAsia="仿宋" w:cs="仿宋"/>
                <w:color w:val="000000" w:themeColor="text1"/>
                <w:sz w:val="24"/>
                <w:szCs w:val="24"/>
                <w:vertAlign w:val="baseline"/>
                <w14:textFill>
                  <w14:solidFill>
                    <w14:schemeClr w14:val="tx1"/>
                  </w14:solidFill>
                </w14:textFill>
              </w:rPr>
              <w:t>.提高职业院校学生和家长对《职业教育法》的知晓率。</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7</w:t>
            </w:r>
            <w:r>
              <w:rPr>
                <w:rFonts w:hint="eastAsia" w:ascii="仿宋" w:hAnsi="仿宋" w:eastAsia="仿宋" w:cs="仿宋"/>
                <w:color w:val="000000" w:themeColor="text1"/>
                <w:sz w:val="24"/>
                <w:szCs w:val="24"/>
                <w:vertAlign w:val="baseline"/>
                <w14:textFill>
                  <w14:solidFill>
                    <w14:schemeClr w14:val="tx1"/>
                  </w14:solidFill>
                </w14:textFill>
              </w:rPr>
              <w:t>.公众关注职业教育发展，自身及其子女接受职业教育和培训的认识及积极性普遍提高。</w:t>
            </w: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机关各</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办</w:t>
            </w:r>
            <w:r>
              <w:rPr>
                <w:rFonts w:hint="eastAsia" w:ascii="仿宋" w:hAnsi="仿宋" w:eastAsia="仿宋" w:cs="仿宋"/>
                <w:color w:val="000000" w:themeColor="text1"/>
                <w:sz w:val="24"/>
                <w:szCs w:val="24"/>
                <w:vertAlign w:val="baseline"/>
                <w:lang w:eastAsia="zh-CN"/>
                <w14:textFill>
                  <w14:solidFill>
                    <w14:schemeClr w14:val="tx1"/>
                  </w14:solidFill>
                </w14:textFill>
              </w:rPr>
              <w:t>室、</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各学校（园）</w:t>
            </w:r>
            <w:r>
              <w:rPr>
                <w:rFonts w:hint="eastAsia" w:ascii="仿宋" w:hAnsi="仿宋" w:eastAsia="仿宋" w:cs="仿宋"/>
                <w:color w:val="000000" w:themeColor="text1"/>
                <w:sz w:val="24"/>
                <w:szCs w:val="24"/>
                <w:vertAlign w:val="baseline"/>
                <w14:textFill>
                  <w14:solidFill>
                    <w14:schemeClr w14:val="tx1"/>
                  </w14:solidFill>
                </w14:textFill>
              </w:rPr>
              <w:t>配合</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局</w:t>
            </w:r>
            <w:r>
              <w:rPr>
                <w:rFonts w:hint="eastAsia" w:ascii="仿宋" w:hAnsi="仿宋" w:eastAsia="仿宋" w:cs="仿宋"/>
                <w:color w:val="000000" w:themeColor="text1"/>
                <w:sz w:val="24"/>
                <w:szCs w:val="24"/>
                <w:vertAlign w:val="baseline"/>
                <w14:textFill>
                  <w14:solidFill>
                    <w14:schemeClr w14:val="tx1"/>
                  </w14:solidFill>
                </w14:textFill>
              </w:rPr>
              <w:t xml:space="preserve">全体干部职工； </w:t>
            </w:r>
            <w:r>
              <w:rPr>
                <w:rFonts w:hint="eastAsia" w:ascii="仿宋" w:hAnsi="仿宋" w:eastAsia="仿宋" w:cs="仿宋"/>
                <w:color w:val="000000" w:themeColor="text1"/>
                <w:sz w:val="24"/>
                <w:szCs w:val="24"/>
                <w:vertAlign w:val="baseline"/>
                <w:lang w:eastAsia="zh-CN"/>
                <w14:textFill>
                  <w14:solidFill>
                    <w14:schemeClr w14:val="tx1"/>
                  </w14:solidFill>
                </w14:textFill>
              </w:rPr>
              <w:t>全县教职员工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8" w:hRule="atLeast"/>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13</w:t>
            </w: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sz w:val="24"/>
                <w:szCs w:val="24"/>
                <w:vertAlign w:val="baseline"/>
                <w:lang w:eastAsia="zh-CN"/>
                <w14:textFill>
                  <w14:solidFill>
                    <w14:schemeClr w14:val="tx1"/>
                  </w14:solidFill>
                </w14:textFill>
              </w:rPr>
              <w:t>与业务相关的法律法规规章</w:t>
            </w:r>
          </w:p>
        </w:tc>
        <w:tc>
          <w:tcPr>
            <w:tcW w:w="24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《民办教育促进法和民办教育促进条例》《青少年法治教育大纲》《中小学教育惩戒规则（试行）》</w:t>
            </w:r>
          </w:p>
        </w:tc>
        <w:tc>
          <w:tcPr>
            <w:tcW w:w="37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w:t>
            </w:r>
            <w:r>
              <w:rPr>
                <w:rFonts w:hint="eastAsia" w:ascii="仿宋" w:hAnsi="仿宋" w:eastAsia="仿宋" w:cs="仿宋"/>
                <w:color w:val="000000" w:themeColor="text1"/>
                <w:sz w:val="24"/>
                <w:szCs w:val="24"/>
                <w:vertAlign w:val="baseline"/>
                <w14:textFill>
                  <w14:solidFill>
                    <w14:schemeClr w14:val="tx1"/>
                  </w14:solidFill>
                </w14:textFill>
              </w:rPr>
              <w:t>.举办专题研讨学习，就《民办教育促进法》和有关法规进行解读培训。</w:t>
            </w:r>
          </w:p>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2</w:t>
            </w:r>
            <w:r>
              <w:rPr>
                <w:rFonts w:hint="eastAsia" w:ascii="仿宋" w:hAnsi="仿宋" w:eastAsia="仿宋" w:cs="仿宋"/>
                <w:color w:val="000000" w:themeColor="text1"/>
                <w:sz w:val="24"/>
                <w:szCs w:val="24"/>
                <w:vertAlign w:val="baseline"/>
                <w14:textFill>
                  <w14:solidFill>
                    <w14:schemeClr w14:val="tx1"/>
                  </w14:solidFill>
                </w14:textFill>
              </w:rPr>
              <w:t>.开展对民办学校和民办教育培训机构的执法检查，建立“红（白）黑名单”制度，加大对违法违规民办学校和民办教育培训机构的行政处罚，督促民办学校和民办教育培训机构落实民办教育促进法及其实施条例的各项规定要求，以查促普。</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3</w:t>
            </w:r>
            <w:r>
              <w:rPr>
                <w:rFonts w:hint="eastAsia" w:ascii="仿宋" w:hAnsi="仿宋" w:eastAsia="仿宋" w:cs="仿宋"/>
                <w:color w:val="000000" w:themeColor="text1"/>
                <w:sz w:val="24"/>
                <w:szCs w:val="24"/>
                <w:vertAlign w:val="baseline"/>
                <w14:textFill>
                  <w14:solidFill>
                    <w14:schemeClr w14:val="tx1"/>
                  </w14:solidFill>
                </w14:textFill>
              </w:rPr>
              <w:t>.督促民办学校和民办教育培训机构加大对《民办教育促进法》的宣传，举办教师培训会、开设普法讲座等形式对涉及教师和学生权益的内容的普及.</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4</w:t>
            </w:r>
            <w:r>
              <w:rPr>
                <w:rFonts w:hint="eastAsia" w:ascii="仿宋" w:hAnsi="仿宋" w:eastAsia="仿宋" w:cs="仿宋"/>
                <w:color w:val="000000" w:themeColor="text1"/>
                <w:sz w:val="24"/>
                <w:szCs w:val="24"/>
                <w:vertAlign w:val="baseline"/>
                <w14:textFill>
                  <w14:solidFill>
                    <w14:schemeClr w14:val="tx1"/>
                  </w14:solidFill>
                </w14:textFill>
              </w:rPr>
              <w:t>.实行职业教师任职资格和职业教育学历证书、培训证书、职业资格证书等制度，面向公众普及职业教育法相关内容。</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5</w:t>
            </w:r>
            <w:r>
              <w:rPr>
                <w:rFonts w:hint="eastAsia" w:ascii="仿宋" w:hAnsi="仿宋" w:eastAsia="仿宋" w:cs="仿宋"/>
                <w:color w:val="000000" w:themeColor="text1"/>
                <w:sz w:val="24"/>
                <w:szCs w:val="24"/>
                <w:vertAlign w:val="baseline"/>
                <w14:textFill>
                  <w14:solidFill>
                    <w14:schemeClr w14:val="tx1"/>
                  </w14:solidFill>
                </w14:textFill>
              </w:rPr>
              <w:t>．面向学校管理者、教师、学生和家长或其监护人开展《中小学教育惩戒规则（试行）》的宣传和普及，让其了解和熟知相关内容。</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6</w:t>
            </w:r>
            <w:r>
              <w:rPr>
                <w:rFonts w:hint="eastAsia" w:ascii="仿宋" w:hAnsi="仿宋" w:eastAsia="仿宋" w:cs="仿宋"/>
                <w:color w:val="000000" w:themeColor="text1"/>
                <w:sz w:val="24"/>
                <w:szCs w:val="24"/>
                <w:vertAlign w:val="baseline"/>
                <w14:textFill>
                  <w14:solidFill>
                    <w14:schemeClr w14:val="tx1"/>
                  </w14:solidFill>
                </w14:textFill>
              </w:rPr>
              <w:t>．充分在西吉教育微信公众号、学校两微一端积极组织开展面向师生的《中小学教育惩戒规则（试行）》普及与宣传。</w:t>
            </w:r>
          </w:p>
        </w:tc>
        <w:tc>
          <w:tcPr>
            <w:tcW w:w="41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1.各级教育行政部门承担民办教育工作的负责人及工作人员熟知民办教育促进法及其实施条例，知晓率达到90%以上；依法履行职责，规范行政行为，保障民办学校及培训机构举办者和校长、教师、学生的合法权益。</w:t>
            </w:r>
          </w:p>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2.民办学校及民办教育培训机构举办者、管理人员和教师熟知民办教育促进法及其实施条例所规定的权利和义务，知晓率达到70%以上；遵守法律法规，依法行使权利，履行义务。</w:t>
            </w:r>
          </w:p>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3.民办学校及民办教育培训机构的学生及其监护人知晓法律法规所赋予的权利和义务，依法保障自身合法权益的意识和能力不断提高。组织协调学校教师运用专业知识和方法，对未成年通过惩戒进行矫治，依法保障师生权益。</w:t>
            </w:r>
          </w:p>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4</w:t>
            </w:r>
            <w:r>
              <w:rPr>
                <w:rFonts w:hint="eastAsia" w:ascii="仿宋" w:hAnsi="仿宋" w:eastAsia="仿宋" w:cs="仿宋"/>
                <w:color w:val="000000" w:themeColor="text1"/>
                <w:sz w:val="24"/>
                <w:szCs w:val="24"/>
                <w:vertAlign w:val="baseline"/>
                <w14:textFill>
                  <w14:solidFill>
                    <w14:schemeClr w14:val="tx1"/>
                  </w14:solidFill>
                </w14:textFill>
              </w:rPr>
              <w:t>.适龄儿童少年及其家长或其监护人对于《中小学教育惩戒规则（试行）》中关于教育部门的职责的知晓率达到80%以上。</w:t>
            </w: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机关各</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办</w:t>
            </w:r>
            <w:r>
              <w:rPr>
                <w:rFonts w:hint="eastAsia" w:ascii="仿宋" w:hAnsi="仿宋" w:eastAsia="仿宋" w:cs="仿宋"/>
                <w:color w:val="000000" w:themeColor="text1"/>
                <w:sz w:val="24"/>
                <w:szCs w:val="24"/>
                <w:vertAlign w:val="baseline"/>
                <w:lang w:eastAsia="zh-CN"/>
                <w14:textFill>
                  <w14:solidFill>
                    <w14:schemeClr w14:val="tx1"/>
                  </w14:solidFill>
                </w14:textFill>
              </w:rPr>
              <w:t>室、</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各学校（园）</w:t>
            </w:r>
            <w:r>
              <w:rPr>
                <w:rFonts w:hint="eastAsia" w:ascii="仿宋" w:hAnsi="仿宋" w:eastAsia="仿宋" w:cs="仿宋"/>
                <w:color w:val="000000" w:themeColor="text1"/>
                <w:sz w:val="24"/>
                <w:szCs w:val="24"/>
                <w:vertAlign w:val="baseline"/>
                <w14:textFill>
                  <w14:solidFill>
                    <w14:schemeClr w14:val="tx1"/>
                  </w14:solidFill>
                </w14:textFill>
              </w:rPr>
              <w:t>配合</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局</w:t>
            </w:r>
            <w:r>
              <w:rPr>
                <w:rFonts w:hint="eastAsia" w:ascii="仿宋" w:hAnsi="仿宋" w:eastAsia="仿宋" w:cs="仿宋"/>
                <w:color w:val="000000" w:themeColor="text1"/>
                <w:sz w:val="24"/>
                <w:szCs w:val="24"/>
                <w:vertAlign w:val="baseline"/>
                <w14:textFill>
                  <w14:solidFill>
                    <w14:schemeClr w14:val="tx1"/>
                  </w14:solidFill>
                </w14:textFill>
              </w:rPr>
              <w:t xml:space="preserve">全体干部职工； </w:t>
            </w:r>
            <w:r>
              <w:rPr>
                <w:rFonts w:hint="eastAsia" w:ascii="仿宋" w:hAnsi="仿宋" w:eastAsia="仿宋" w:cs="仿宋"/>
                <w:color w:val="000000" w:themeColor="text1"/>
                <w:sz w:val="24"/>
                <w:szCs w:val="24"/>
                <w:vertAlign w:val="baseline"/>
                <w:lang w:eastAsia="zh-CN"/>
                <w14:textFill>
                  <w14:solidFill>
                    <w14:schemeClr w14:val="tx1"/>
                  </w14:solidFill>
                </w14:textFill>
              </w:rPr>
              <w:t>全县教职员工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3" w:hRule="atLeast"/>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14</w:t>
            </w: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 w:hAnsi="仿宋" w:eastAsia="仿宋" w:cs="仿宋"/>
                <w:color w:val="000000" w:themeColor="text1"/>
                <w:sz w:val="24"/>
                <w:szCs w:val="24"/>
                <w:vertAlign w:val="baseline"/>
                <w:lang w:eastAsia="zh-CN"/>
                <w14:textFill>
                  <w14:solidFill>
                    <w14:schemeClr w14:val="tx1"/>
                  </w14:solidFill>
                </w14:textFill>
              </w:rPr>
            </w:pPr>
            <w:r>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t>与业务相关的法律法规规章</w:t>
            </w:r>
          </w:p>
        </w:tc>
        <w:tc>
          <w:tcPr>
            <w:tcW w:w="24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《青少年法治教育大纲》</w:t>
            </w:r>
          </w:p>
        </w:tc>
        <w:tc>
          <w:tcPr>
            <w:tcW w:w="37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t>1.举办专题培训班和研讨会，对法治教育分管领导、校长、教育体育局相关科室负责人、各学校分管校长就《青少年法治教育大纲》和有关法规进行培训。</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t>2.督促各学校加大对《青少年法治教育大纲》的宣传，采取张贴《青少年法治教育大纲》及其实施条例、举办教师培训会、开设普法讲座等形式对涉及青少年权益的内容的普及。</w:t>
            </w:r>
          </w:p>
        </w:tc>
        <w:tc>
          <w:tcPr>
            <w:tcW w:w="41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1.教育行政部门工作人员熟知青少年法治大纲，依法履行职责，保障学校及教师和学生的合法权益。</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2.学校及民办教育培训机构的学生及其监护人知晓青少年法治教育大纲所赋予的权利和义务，依法保障自身合法权益的意识和能力不断提高。</w:t>
            </w: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机关各</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办</w:t>
            </w:r>
            <w:r>
              <w:rPr>
                <w:rFonts w:hint="eastAsia" w:ascii="仿宋" w:hAnsi="仿宋" w:eastAsia="仿宋" w:cs="仿宋"/>
                <w:color w:val="000000" w:themeColor="text1"/>
                <w:sz w:val="24"/>
                <w:szCs w:val="24"/>
                <w:vertAlign w:val="baseline"/>
                <w:lang w:eastAsia="zh-CN"/>
                <w14:textFill>
                  <w14:solidFill>
                    <w14:schemeClr w14:val="tx1"/>
                  </w14:solidFill>
                </w14:textFill>
              </w:rPr>
              <w:t>室、</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各学校（园）</w:t>
            </w:r>
            <w:r>
              <w:rPr>
                <w:rFonts w:hint="eastAsia" w:ascii="仿宋" w:hAnsi="仿宋" w:eastAsia="仿宋" w:cs="仿宋"/>
                <w:color w:val="000000" w:themeColor="text1"/>
                <w:sz w:val="24"/>
                <w:szCs w:val="24"/>
                <w:vertAlign w:val="baseline"/>
                <w14:textFill>
                  <w14:solidFill>
                    <w14:schemeClr w14:val="tx1"/>
                  </w14:solidFill>
                </w14:textFill>
              </w:rPr>
              <w:t>配合</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局</w:t>
            </w:r>
            <w:r>
              <w:rPr>
                <w:rFonts w:hint="eastAsia" w:ascii="仿宋" w:hAnsi="仿宋" w:eastAsia="仿宋" w:cs="仿宋"/>
                <w:color w:val="000000" w:themeColor="text1"/>
                <w:sz w:val="24"/>
                <w:szCs w:val="24"/>
                <w:vertAlign w:val="baseline"/>
                <w14:textFill>
                  <w14:solidFill>
                    <w14:schemeClr w14:val="tx1"/>
                  </w14:solidFill>
                </w14:textFill>
              </w:rPr>
              <w:t xml:space="preserve">全体干部职工； </w:t>
            </w:r>
            <w:r>
              <w:rPr>
                <w:rFonts w:hint="eastAsia" w:ascii="仿宋" w:hAnsi="仿宋" w:eastAsia="仿宋" w:cs="仿宋"/>
                <w:color w:val="000000" w:themeColor="text1"/>
                <w:sz w:val="24"/>
                <w:szCs w:val="24"/>
                <w:vertAlign w:val="baseline"/>
                <w:lang w:eastAsia="zh-CN"/>
                <w14:textFill>
                  <w14:solidFill>
                    <w14:schemeClr w14:val="tx1"/>
                  </w14:solidFill>
                </w14:textFill>
              </w:rPr>
              <w:t>全县教职员工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15</w:t>
            </w: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sz w:val="24"/>
                <w:szCs w:val="24"/>
                <w:vertAlign w:val="baseline"/>
                <w:lang w:eastAsia="zh-CN"/>
                <w14:textFill>
                  <w14:solidFill>
                    <w14:schemeClr w14:val="tx1"/>
                  </w14:solidFill>
                </w14:textFill>
              </w:rPr>
              <w:t>与业务相关的法律法规规章</w:t>
            </w:r>
          </w:p>
        </w:tc>
        <w:tc>
          <w:tcPr>
            <w:tcW w:w="24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《通用语言文字法》</w:t>
            </w:r>
          </w:p>
        </w:tc>
        <w:tc>
          <w:tcPr>
            <w:tcW w:w="37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t>1.借助各种媒介和“推普周”，开展《国家通用语言文字法》专题宣传，举办语言文字规范标准培训和普通话升级培训。2.落实《西吉县贯彻落实国家中长期语言文字事业改革和发展纲要实施方案》，推进语言文字标准化建设，开展语言文字督导评估和县域语言文字监测调查工作。3.举办中小学幼儿园“三字一话”基本功大赛，推动各学校和公共场所“开口讲普通话、提笔写规范字”4.开展传统文化、书法艺术进校园和中华经典诵读等活动，强化音体美、文史政学科教师培训，服务文化强国战略。5.在社会开展普通话等级测试。</w:t>
            </w:r>
          </w:p>
        </w:tc>
        <w:tc>
          <w:tcPr>
            <w:tcW w:w="41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t>1.党政机关以及社会公共服务行业以普通话和规范汉字做为公务和基本服务用字用语。</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t>2.教师入职须持相应普通话等级证书，各级各类学校教师和学生“开口讲普通话、提笔写规范字”。</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t>3.积极开展一、二类语言文字城市创建活动；普通话等级测试应测尽测。4.每年开展“推普周”活动，举办传统文化、书法艺术进校园和中国经典诵读等活动。</w:t>
            </w: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sz w:val="24"/>
                <w:szCs w:val="24"/>
                <w:vertAlign w:val="baseline"/>
                <w14:textFill>
                  <w14:solidFill>
                    <w14:schemeClr w14:val="tx1"/>
                  </w14:solidFill>
                </w14:textFill>
              </w:rPr>
              <w:t>机关各</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办</w:t>
            </w:r>
            <w:r>
              <w:rPr>
                <w:rFonts w:hint="eastAsia" w:ascii="仿宋" w:hAnsi="仿宋" w:eastAsia="仿宋" w:cs="仿宋"/>
                <w:color w:val="000000" w:themeColor="text1"/>
                <w:sz w:val="24"/>
                <w:szCs w:val="24"/>
                <w:vertAlign w:val="baseline"/>
                <w:lang w:eastAsia="zh-CN"/>
                <w14:textFill>
                  <w14:solidFill>
                    <w14:schemeClr w14:val="tx1"/>
                  </w14:solidFill>
                </w14:textFill>
              </w:rPr>
              <w:t>室、</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各学校（园）</w:t>
            </w:r>
            <w:r>
              <w:rPr>
                <w:rFonts w:hint="eastAsia" w:ascii="仿宋" w:hAnsi="仿宋" w:eastAsia="仿宋" w:cs="仿宋"/>
                <w:color w:val="000000" w:themeColor="text1"/>
                <w:sz w:val="24"/>
                <w:szCs w:val="24"/>
                <w:vertAlign w:val="baseline"/>
                <w14:textFill>
                  <w14:solidFill>
                    <w14:schemeClr w14:val="tx1"/>
                  </w14:solidFill>
                </w14:textFill>
              </w:rPr>
              <w:t>配合</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 w:hAnsi="仿宋" w:eastAsia="仿宋" w:cs="仿宋"/>
                <w:color w:val="000000" w:themeColor="text1"/>
                <w:kern w:val="2"/>
                <w:sz w:val="24"/>
                <w:szCs w:val="24"/>
                <w:vertAlign w:val="baseline"/>
                <w:lang w:val="en-US" w:eastAsia="zh-CN" w:bidi="ar-SA"/>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局</w:t>
            </w:r>
            <w:r>
              <w:rPr>
                <w:rFonts w:hint="eastAsia" w:ascii="仿宋" w:hAnsi="仿宋" w:eastAsia="仿宋" w:cs="仿宋"/>
                <w:color w:val="000000" w:themeColor="text1"/>
                <w:sz w:val="24"/>
                <w:szCs w:val="24"/>
                <w:vertAlign w:val="baseline"/>
                <w14:textFill>
                  <w14:solidFill>
                    <w14:schemeClr w14:val="tx1"/>
                  </w14:solidFill>
                </w14:textFill>
              </w:rPr>
              <w:t xml:space="preserve">全体干部职工； </w:t>
            </w:r>
            <w:r>
              <w:rPr>
                <w:rFonts w:hint="eastAsia" w:ascii="仿宋" w:hAnsi="仿宋" w:eastAsia="仿宋" w:cs="仿宋"/>
                <w:color w:val="000000" w:themeColor="text1"/>
                <w:sz w:val="24"/>
                <w:szCs w:val="24"/>
                <w:vertAlign w:val="baseline"/>
                <w:lang w:eastAsia="zh-CN"/>
                <w14:textFill>
                  <w14:solidFill>
                    <w14:schemeClr w14:val="tx1"/>
                  </w14:solidFill>
                </w14:textFill>
              </w:rPr>
              <w:t>全县教职员工</w:t>
            </w:r>
          </w:p>
        </w:tc>
      </w:tr>
    </w:tbl>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sz w:val="32"/>
          <w:szCs w:val="32"/>
        </w:rPr>
        <w:sectPr>
          <w:headerReference r:id="rId3" w:type="default"/>
          <w:footerReference r:id="rId4" w:type="default"/>
          <w:pgSz w:w="16838" w:h="11906" w:orient="landscape"/>
          <w:pgMar w:top="1701" w:right="1440" w:bottom="1304" w:left="1440" w:header="851" w:footer="992" w:gutter="0"/>
          <w:pgNumType w:fmt="decimal" w:start="1"/>
          <w:cols w:space="0" w:num="1"/>
          <w:rtlGutter w:val="0"/>
          <w:docGrid w:type="lines" w:linePitch="319" w:charSpace="0"/>
        </w:sectPr>
      </w:pP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E93569"/>
    <w:multiLevelType w:val="singleLevel"/>
    <w:tmpl w:val="81E9356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iMDBhMWM3MmFiM2VlNGMzYTAzMmFiZGRjMTM1MWEifQ=="/>
  </w:docVars>
  <w:rsids>
    <w:rsidRoot w:val="75074B36"/>
    <w:rsid w:val="095F13EB"/>
    <w:rsid w:val="109160FC"/>
    <w:rsid w:val="12DC77F8"/>
    <w:rsid w:val="216F6122"/>
    <w:rsid w:val="2C4B666E"/>
    <w:rsid w:val="403E404B"/>
    <w:rsid w:val="44571B77"/>
    <w:rsid w:val="46752C38"/>
    <w:rsid w:val="4AE4217F"/>
    <w:rsid w:val="6FE53C43"/>
    <w:rsid w:val="75074B36"/>
    <w:rsid w:val="7AC957AF"/>
    <w:rsid w:val="7CDA02C5"/>
    <w:rsid w:val="7FBDCADD"/>
    <w:rsid w:val="DFE7849B"/>
    <w:rsid w:val="EFEF07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rFonts w:ascii="Times New Roman" w:hAnsi="Times New Roman" w:eastAsia="宋体" w:cs="Times New Roman"/>
      <w:sz w:val="21"/>
    </w:rPr>
  </w:style>
  <w:style w:type="paragraph" w:styleId="3">
    <w:name w:val="footer"/>
    <w:basedOn w:val="1"/>
    <w:next w:val="4"/>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8119</Words>
  <Characters>8294</Characters>
  <Lines>0</Lines>
  <Paragraphs>0</Paragraphs>
  <TotalTime>75</TotalTime>
  <ScaleCrop>false</ScaleCrop>
  <LinksUpToDate>false</LinksUpToDate>
  <CharactersWithSpaces>8375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2023-05-30T07:16:00Z</dcterms:created>
  <dc:creator>阳光大道</dc:creator>
  <cp:lastModifiedBy>Peter</cp:lastModifiedBy>
  <cp:lastPrinted>2023-06-14T08:28:00Z</cp:lastPrinted>
  <dcterms:modified xsi:type="dcterms:W3CDTF">2023-10-20T07:00:46Z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5C60EF90331A4AA0AC2D87E36F165F78_13</vt:lpwstr>
  </property>
</Properties>
</file>